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140A" w14:textId="77777777" w:rsidR="003869AB" w:rsidRPr="00220AB0" w:rsidRDefault="003869AB" w:rsidP="003869AB">
      <w:pPr>
        <w:spacing w:line="240" w:lineRule="auto"/>
        <w:rPr>
          <w:rFonts w:ascii="Arial Narrow" w:hAnsi="Arial Narrow"/>
          <w:b/>
        </w:rPr>
      </w:pPr>
      <w:r w:rsidRPr="00220AB0">
        <w:rPr>
          <w:rFonts w:ascii="Arial Narrow" w:hAnsi="Arial Narrow"/>
          <w:b/>
        </w:rPr>
        <w:t>PLAN KOMUNIKACJI</w:t>
      </w:r>
    </w:p>
    <w:p w14:paraId="4409BA05" w14:textId="77777777" w:rsidR="003869AB" w:rsidRPr="00220AB0" w:rsidRDefault="003869AB" w:rsidP="003869AB">
      <w:pPr>
        <w:spacing w:line="240" w:lineRule="auto"/>
        <w:rPr>
          <w:rFonts w:ascii="Arial Narrow" w:hAnsi="Arial Narrow"/>
        </w:rPr>
      </w:pPr>
      <w:r w:rsidRPr="00220AB0">
        <w:rPr>
          <w:rFonts w:ascii="Arial Narrow" w:hAnsi="Arial Narrow"/>
        </w:rPr>
        <w:t>DLA DZIAŁANIA</w:t>
      </w:r>
    </w:p>
    <w:p w14:paraId="44322B5B" w14:textId="77777777" w:rsidR="003869AB" w:rsidRPr="00220AB0" w:rsidRDefault="003869AB" w:rsidP="003869AB">
      <w:pPr>
        <w:spacing w:line="240" w:lineRule="auto"/>
        <w:rPr>
          <w:rFonts w:ascii="Arial Narrow" w:hAnsi="Arial Narrow"/>
          <w:b/>
        </w:rPr>
      </w:pPr>
      <w:r w:rsidRPr="00220AB0">
        <w:rPr>
          <w:rFonts w:ascii="Arial Narrow" w:hAnsi="Arial Narrow"/>
          <w:b/>
        </w:rPr>
        <w:t>WSPARCIE DLA ROZWOJU LOKALNEGO W RAMACH INICJATYWY LEADER</w:t>
      </w:r>
    </w:p>
    <w:p w14:paraId="53B61E38" w14:textId="77777777" w:rsidR="003869AB" w:rsidRPr="00220AB0" w:rsidRDefault="003869AB" w:rsidP="003869AB">
      <w:pPr>
        <w:spacing w:line="240" w:lineRule="auto"/>
        <w:rPr>
          <w:rFonts w:ascii="Arial Narrow" w:hAnsi="Arial Narrow"/>
        </w:rPr>
      </w:pPr>
      <w:r w:rsidRPr="00220AB0">
        <w:rPr>
          <w:rFonts w:ascii="Arial Narrow" w:hAnsi="Arial Narrow"/>
        </w:rPr>
        <w:t>OBJĘTEGO</w:t>
      </w:r>
    </w:p>
    <w:p w14:paraId="0CB23439" w14:textId="77777777" w:rsidR="003869AB" w:rsidRPr="00220AB0" w:rsidRDefault="003869AB" w:rsidP="003869AB">
      <w:pPr>
        <w:spacing w:line="240" w:lineRule="auto"/>
        <w:rPr>
          <w:rFonts w:ascii="Arial Narrow" w:hAnsi="Arial Narrow"/>
          <w:b/>
        </w:rPr>
      </w:pPr>
      <w:r w:rsidRPr="00220AB0">
        <w:rPr>
          <w:rFonts w:ascii="Arial Narrow" w:hAnsi="Arial Narrow"/>
          <w:b/>
        </w:rPr>
        <w:t>PROGRAMEM ROZWOJU OBSZARÓW WIEJSKICH NA LATA 2014 – 2020</w:t>
      </w:r>
    </w:p>
    <w:p w14:paraId="2B8A1512" w14:textId="77777777" w:rsidR="003869AB" w:rsidRPr="00220AB0" w:rsidRDefault="003869AB" w:rsidP="003869AB">
      <w:pPr>
        <w:spacing w:line="240" w:lineRule="auto"/>
        <w:rPr>
          <w:rFonts w:ascii="Arial Narrow" w:hAnsi="Arial Narrow"/>
        </w:rPr>
      </w:pPr>
      <w:r w:rsidRPr="00220AB0">
        <w:rPr>
          <w:rFonts w:ascii="Arial Narrow" w:hAnsi="Arial Narrow"/>
        </w:rPr>
        <w:t>REALIZOWANY PRZEZ</w:t>
      </w:r>
    </w:p>
    <w:p w14:paraId="6B572D60" w14:textId="77777777" w:rsidR="003869AB" w:rsidRPr="00220AB0" w:rsidRDefault="003869AB" w:rsidP="003869AB">
      <w:pPr>
        <w:spacing w:line="240" w:lineRule="auto"/>
        <w:rPr>
          <w:rFonts w:ascii="Arial Narrow" w:hAnsi="Arial Narrow"/>
          <w:b/>
        </w:rPr>
      </w:pPr>
      <w:r w:rsidRPr="00220AB0">
        <w:rPr>
          <w:rFonts w:ascii="Arial Narrow" w:hAnsi="Arial Narrow"/>
          <w:b/>
        </w:rPr>
        <w:t>„KRÓLEWSKIE PONIDZIE”</w:t>
      </w:r>
    </w:p>
    <w:p w14:paraId="0A74B3EA" w14:textId="77777777" w:rsidR="003869AB" w:rsidRPr="00220AB0" w:rsidRDefault="003869AB" w:rsidP="003869AB">
      <w:pPr>
        <w:spacing w:line="240" w:lineRule="auto"/>
        <w:rPr>
          <w:rFonts w:ascii="Arial Narrow" w:hAnsi="Arial Narrow"/>
          <w:b/>
        </w:rPr>
      </w:pPr>
      <w:r w:rsidRPr="00220AB0">
        <w:rPr>
          <w:rFonts w:ascii="Arial Narrow" w:hAnsi="Arial Narrow"/>
          <w:b/>
        </w:rPr>
        <w:t>LOKALNĄ GRUPĘ DZIAŁANIA</w:t>
      </w:r>
    </w:p>
    <w:p w14:paraId="3A26CB2F" w14:textId="103DC0F8" w:rsidR="003869AB" w:rsidRPr="00220AB0" w:rsidRDefault="00AD583A" w:rsidP="003869AB">
      <w:pPr>
        <w:spacing w:line="240" w:lineRule="auto"/>
        <w:rPr>
          <w:rFonts w:ascii="Arial Narrow" w:hAnsi="Arial Narrow"/>
        </w:rPr>
      </w:pPr>
      <w:r>
        <w:rPr>
          <w:rFonts w:ascii="Arial Narrow" w:hAnsi="Arial Narrow"/>
          <w:b/>
          <w:noProof/>
          <w:lang w:eastAsia="pl-PL"/>
        </w:rPr>
        <mc:AlternateContent>
          <mc:Choice Requires="wps">
            <w:drawing>
              <wp:anchor distT="0" distB="0" distL="114300" distR="114300" simplePos="0" relativeHeight="251660288" behindDoc="0" locked="0" layoutInCell="1" allowOverlap="1" wp14:anchorId="7783B02F" wp14:editId="4389959F">
                <wp:simplePos x="0" y="0"/>
                <wp:positionH relativeFrom="column">
                  <wp:posOffset>-81915</wp:posOffset>
                </wp:positionH>
                <wp:positionV relativeFrom="paragraph">
                  <wp:posOffset>222250</wp:posOffset>
                </wp:positionV>
                <wp:extent cx="5793740" cy="0"/>
                <wp:effectExtent l="8255" t="13970" r="825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14E09" id="_x0000_t32" coordsize="21600,21600" o:spt="32" o:oned="t" path="m,l21600,21600e" filled="f">
                <v:path arrowok="t" fillok="f" o:connecttype="none"/>
                <o:lock v:ext="edit" shapetype="t"/>
              </v:shapetype>
              <v:shape id="AutoShape 2" o:spid="_x0000_s1026" type="#_x0000_t32" style="position:absolute;margin-left:-6.45pt;margin-top:17.5pt;width:4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"/>
            </w:pict>
          </mc:Fallback>
        </mc:AlternateContent>
      </w:r>
    </w:p>
    <w:sdt>
      <w:sdtPr>
        <w:rPr>
          <w:rFonts w:ascii="Arial Narrow" w:hAnsi="Arial Narrow"/>
        </w:rPr>
        <w:id w:val="9965268"/>
        <w:docPartObj>
          <w:docPartGallery w:val="Table of Contents"/>
          <w:docPartUnique/>
        </w:docPartObj>
      </w:sdtPr>
      <w:sdtEndPr/>
      <w:sdtContent>
        <w:p w14:paraId="7D4DA63C" w14:textId="77777777" w:rsidR="003869AB" w:rsidRPr="00220AB0" w:rsidRDefault="003869AB" w:rsidP="003869AB">
          <w:pPr>
            <w:keepNext/>
            <w:keepLines/>
            <w:rPr>
              <w:rFonts w:ascii="Arial Narrow" w:hAnsi="Arial Narrow"/>
            </w:rPr>
          </w:pPr>
        </w:p>
        <w:p w14:paraId="26EF35AC" w14:textId="77777777" w:rsidR="003869AB" w:rsidRPr="00220AB0" w:rsidRDefault="003869AB" w:rsidP="003869AB">
          <w:pPr>
            <w:keepNext/>
            <w:keepLines/>
            <w:rPr>
              <w:rFonts w:ascii="Arial Narrow" w:hAnsi="Arial Narrow"/>
            </w:rPr>
          </w:pPr>
        </w:p>
        <w:p w14:paraId="41EAD449" w14:textId="77777777" w:rsidR="003869AB" w:rsidRPr="00220AB0" w:rsidRDefault="003869AB" w:rsidP="003869AB">
          <w:pPr>
            <w:keepNext/>
            <w:keepLines/>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14:paraId="68DED553" w14:textId="77777777" w:rsidR="003869AB" w:rsidRPr="00220AB0" w:rsidRDefault="003869AB" w:rsidP="003869AB">
          <w:pPr>
            <w:tabs>
              <w:tab w:val="right" w:leader="dot" w:pos="9062"/>
            </w:tabs>
            <w:rPr>
              <w:rFonts w:ascii="Arial Narrow" w:eastAsiaTheme="minorEastAsia" w:hAnsi="Arial Narrow"/>
            </w:rPr>
          </w:pPr>
        </w:p>
        <w:p w14:paraId="47AAC511" w14:textId="77777777" w:rsidR="003869AB" w:rsidRPr="00220AB0" w:rsidRDefault="001A4C73" w:rsidP="003869AB">
          <w:pPr>
            <w:tabs>
              <w:tab w:val="right" w:leader="dot" w:pos="10194"/>
            </w:tabs>
            <w:spacing w:after="100"/>
            <w:rPr>
              <w:rFonts w:eastAsiaTheme="minorEastAsia"/>
              <w:noProof/>
              <w:lang w:eastAsia="pl-PL"/>
            </w:rPr>
          </w:pPr>
          <w:r w:rsidRPr="00220AB0">
            <w:rPr>
              <w:rFonts w:ascii="Arial Narrow" w:eastAsiaTheme="minorEastAsia" w:hAnsi="Arial Narrow"/>
            </w:rPr>
            <w:fldChar w:fldCharType="begin"/>
          </w:r>
          <w:r w:rsidR="003869AB" w:rsidRPr="00220AB0">
            <w:rPr>
              <w:rFonts w:ascii="Arial Narrow" w:eastAsiaTheme="minorEastAsia" w:hAnsi="Arial Narrow"/>
            </w:rPr>
            <w:instrText xml:space="preserve"> TOC \o "1-3" \h \z \u </w:instrText>
          </w:r>
          <w:r w:rsidRPr="00220AB0">
            <w:rPr>
              <w:rFonts w:ascii="Arial Narrow" w:eastAsiaTheme="minorEastAsia" w:hAnsi="Arial Narrow"/>
            </w:rPr>
            <w:fldChar w:fldCharType="separate"/>
          </w:r>
          <w:hyperlink w:anchor="_Toc439067477" w:history="1">
            <w:r w:rsidR="003869AB" w:rsidRPr="00220AB0">
              <w:rPr>
                <w:rFonts w:ascii="Arial Narrow" w:eastAsiaTheme="minorEastAsia" w:hAnsi="Arial Narrow"/>
                <w:noProof/>
                <w:color w:val="0000FF"/>
                <w:u w:val="single"/>
              </w:rPr>
              <w:t>WPROWADZENIE</w:t>
            </w:r>
            <w:r w:rsidR="003869AB" w:rsidRPr="00220AB0">
              <w:rPr>
                <w:rFonts w:eastAsiaTheme="minorEastAsia"/>
                <w:noProof/>
                <w:webHidden/>
              </w:rPr>
              <w:tab/>
            </w:r>
            <w:r w:rsidRPr="00220AB0">
              <w:rPr>
                <w:rFonts w:eastAsiaTheme="minorEastAsia"/>
                <w:noProof/>
                <w:webHidden/>
              </w:rPr>
              <w:fldChar w:fldCharType="begin"/>
            </w:r>
            <w:r w:rsidR="003869AB"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BC5FA0">
              <w:rPr>
                <w:rFonts w:eastAsiaTheme="minorEastAsia"/>
                <w:noProof/>
                <w:webHidden/>
              </w:rPr>
              <w:t>1</w:t>
            </w:r>
            <w:r w:rsidRPr="00220AB0">
              <w:rPr>
                <w:rFonts w:eastAsiaTheme="minorEastAsia"/>
                <w:noProof/>
                <w:webHidden/>
              </w:rPr>
              <w:fldChar w:fldCharType="end"/>
            </w:r>
          </w:hyperlink>
        </w:p>
        <w:p w14:paraId="7D56F6F0" w14:textId="77777777" w:rsidR="003869AB" w:rsidRPr="00220AB0" w:rsidRDefault="005C74AA" w:rsidP="003869AB">
          <w:pPr>
            <w:tabs>
              <w:tab w:val="right" w:leader="dot" w:pos="10194"/>
            </w:tabs>
            <w:spacing w:after="100"/>
            <w:rPr>
              <w:rFonts w:eastAsiaTheme="minorEastAsia"/>
              <w:noProof/>
              <w:lang w:eastAsia="pl-PL"/>
            </w:rPr>
          </w:pPr>
          <w:hyperlink w:anchor="_Toc439067478" w:history="1">
            <w:r w:rsidR="003869AB" w:rsidRPr="00220AB0">
              <w:rPr>
                <w:rFonts w:ascii="Arial Narrow" w:eastAsiaTheme="minorEastAsia" w:hAnsi="Arial Narrow"/>
                <w:noProof/>
                <w:color w:val="0000FF"/>
                <w:u w:val="single"/>
              </w:rPr>
              <w:t>CELE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_Toc439067478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0C4C4642" w14:textId="77777777" w:rsidR="003869AB" w:rsidRPr="00220AB0" w:rsidRDefault="005C74AA" w:rsidP="003869AB">
          <w:pPr>
            <w:tabs>
              <w:tab w:val="right" w:leader="dot" w:pos="10194"/>
            </w:tabs>
            <w:spacing w:after="100"/>
            <w:rPr>
              <w:rFonts w:eastAsiaTheme="minorEastAsia"/>
              <w:noProof/>
              <w:lang w:eastAsia="pl-PL"/>
            </w:rPr>
          </w:pPr>
          <w:hyperlink w:anchor="_Toc439067479" w:history="1">
            <w:r w:rsidR="003869AB" w:rsidRPr="00220AB0">
              <w:rPr>
                <w:rFonts w:ascii="Arial Narrow" w:eastAsiaTheme="minorEastAsia" w:hAnsi="Arial Narrow"/>
                <w:noProof/>
                <w:color w:val="0000FF"/>
                <w:u w:val="single"/>
              </w:rPr>
              <w:t>GRUPY DOCELOWE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_Toc439067479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65300932" w14:textId="77777777" w:rsidR="003869AB" w:rsidRPr="00220AB0" w:rsidRDefault="005C74AA" w:rsidP="003869AB">
          <w:pPr>
            <w:tabs>
              <w:tab w:val="right" w:leader="dot" w:pos="10194"/>
            </w:tabs>
            <w:spacing w:after="100"/>
            <w:rPr>
              <w:rFonts w:eastAsiaTheme="minorEastAsia"/>
              <w:noProof/>
              <w:lang w:eastAsia="pl-PL"/>
            </w:rPr>
          </w:pPr>
          <w:hyperlink w:anchor="_Toc439067480" w:history="1">
            <w:r w:rsidR="003869AB" w:rsidRPr="00220AB0">
              <w:rPr>
                <w:rFonts w:ascii="Arial Narrow" w:eastAsiaTheme="minorEastAsia" w:hAnsi="Arial Narrow"/>
                <w:noProof/>
                <w:color w:val="0000FF"/>
                <w:u w:val="single"/>
              </w:rPr>
              <w:t>DZIAŁANIA ZAPLANOWANE W PLANIE KOMUNIKACJI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_Toc439067480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7EDDBE58" w14:textId="77777777" w:rsidR="003869AB" w:rsidRPr="00220AB0" w:rsidRDefault="005C74AA" w:rsidP="003869AB">
          <w:pPr>
            <w:tabs>
              <w:tab w:val="right" w:leader="dot" w:pos="10194"/>
            </w:tabs>
            <w:spacing w:after="100"/>
            <w:rPr>
              <w:rFonts w:eastAsiaTheme="minorEastAsia"/>
              <w:noProof/>
              <w:lang w:eastAsia="pl-PL"/>
            </w:rPr>
          </w:pPr>
          <w:hyperlink w:anchor="_Toc439067481" w:history="1">
            <w:r w:rsidR="003869AB" w:rsidRPr="00220AB0">
              <w:rPr>
                <w:rFonts w:ascii="Arial Narrow" w:eastAsiaTheme="minorEastAsia" w:hAnsi="Arial Narrow"/>
                <w:noProof/>
                <w:color w:val="0000FF"/>
                <w:u w:val="single"/>
              </w:rPr>
              <w:t>HARMONOGRAM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_Toc439067481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6</w:t>
            </w:r>
            <w:r w:rsidR="001A4C73" w:rsidRPr="00220AB0">
              <w:rPr>
                <w:rFonts w:eastAsiaTheme="minorEastAsia"/>
                <w:noProof/>
                <w:webHidden/>
              </w:rPr>
              <w:fldChar w:fldCharType="end"/>
            </w:r>
          </w:hyperlink>
        </w:p>
        <w:p w14:paraId="1BDC277D" w14:textId="77777777" w:rsidR="003869AB" w:rsidRPr="00220AB0" w:rsidRDefault="005C74AA" w:rsidP="003869AB">
          <w:pPr>
            <w:tabs>
              <w:tab w:val="right" w:leader="dot" w:pos="10194"/>
            </w:tabs>
            <w:spacing w:after="100"/>
            <w:rPr>
              <w:rFonts w:eastAsiaTheme="minorEastAsia"/>
              <w:noProof/>
              <w:lang w:eastAsia="pl-PL"/>
            </w:rPr>
          </w:pPr>
          <w:hyperlink w:anchor="_Toc439067482" w:history="1">
            <w:r w:rsidR="003869AB" w:rsidRPr="00220AB0">
              <w:rPr>
                <w:rFonts w:ascii="Arial Narrow" w:eastAsiaTheme="minorEastAsia" w:hAnsi="Arial Narrow"/>
                <w:noProof/>
                <w:color w:val="0000FF"/>
                <w:u w:val="single"/>
              </w:rPr>
              <w:t>INDYKATYWNY BUDŻET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_Toc439067482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7</w:t>
            </w:r>
            <w:r w:rsidR="001A4C73" w:rsidRPr="00220AB0">
              <w:rPr>
                <w:rFonts w:eastAsiaTheme="minorEastAsia"/>
                <w:noProof/>
                <w:webHidden/>
              </w:rPr>
              <w:fldChar w:fldCharType="end"/>
            </w:r>
          </w:hyperlink>
        </w:p>
        <w:p w14:paraId="67E3A114" w14:textId="77777777" w:rsidR="003869AB" w:rsidRPr="00220AB0" w:rsidRDefault="005C74AA" w:rsidP="003869AB">
          <w:pPr>
            <w:tabs>
              <w:tab w:val="right" w:leader="dot" w:pos="10194"/>
            </w:tabs>
            <w:spacing w:after="100"/>
            <w:rPr>
              <w:rFonts w:eastAsiaTheme="minorEastAsia"/>
              <w:noProof/>
              <w:lang w:eastAsia="pl-PL"/>
            </w:rPr>
          </w:pPr>
          <w:hyperlink w:anchor="_Toc439067483" w:history="1">
            <w:r w:rsidR="003869AB" w:rsidRPr="00220AB0">
              <w:rPr>
                <w:rFonts w:ascii="Arial Narrow" w:eastAsiaTheme="minorEastAsia" w:hAnsi="Arial Narrow"/>
                <w:noProof/>
                <w:color w:val="0000FF"/>
                <w:u w:val="single"/>
              </w:rPr>
              <w:t>EWALUACJA I WSKAŹNIKI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_Toc439067483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8</w:t>
            </w:r>
            <w:r w:rsidR="001A4C73" w:rsidRPr="00220AB0">
              <w:rPr>
                <w:rFonts w:eastAsiaTheme="minorEastAsia"/>
                <w:noProof/>
                <w:webHidden/>
              </w:rPr>
              <w:fldChar w:fldCharType="end"/>
            </w:r>
          </w:hyperlink>
        </w:p>
        <w:p w14:paraId="22A75EB9" w14:textId="77777777" w:rsidR="003869AB" w:rsidRPr="00220AB0" w:rsidRDefault="001A4C73" w:rsidP="003869AB">
          <w:pPr>
            <w:rPr>
              <w:rFonts w:ascii="Arial Narrow" w:hAnsi="Arial Narrow"/>
            </w:rPr>
          </w:pPr>
          <w:r w:rsidRPr="00220AB0">
            <w:rPr>
              <w:rFonts w:ascii="Arial Narrow" w:hAnsi="Arial Narrow"/>
            </w:rPr>
            <w:fldChar w:fldCharType="end"/>
          </w:r>
        </w:p>
      </w:sdtContent>
    </w:sdt>
    <w:p w14:paraId="09E9AC9D" w14:textId="77777777" w:rsidR="003869AB" w:rsidRPr="00220AB0" w:rsidRDefault="003869AB" w:rsidP="003869AB">
      <w:pPr>
        <w:spacing w:line="240" w:lineRule="auto"/>
        <w:rPr>
          <w:rFonts w:ascii="Arial Narrow" w:hAnsi="Arial Narrow"/>
        </w:rPr>
      </w:pPr>
    </w:p>
    <w:p w14:paraId="648FA87F" w14:textId="77777777" w:rsidR="003869AB" w:rsidRPr="00220AB0" w:rsidRDefault="003869AB" w:rsidP="003869AB">
      <w:pPr>
        <w:spacing w:line="240" w:lineRule="auto"/>
        <w:rPr>
          <w:rFonts w:ascii="Arial Narrow" w:hAnsi="Arial Narrow"/>
        </w:rPr>
      </w:pPr>
    </w:p>
    <w:p w14:paraId="76400971"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14:paraId="11B7372E" w14:textId="77777777" w:rsidR="003869AB" w:rsidRPr="00220AB0" w:rsidRDefault="003869AB" w:rsidP="003869AB">
      <w:pPr>
        <w:spacing w:line="240" w:lineRule="auto"/>
        <w:rPr>
          <w:rFonts w:ascii="Arial Narrow" w:hAnsi="Arial Narrow"/>
        </w:rPr>
      </w:pPr>
    </w:p>
    <w:p w14:paraId="3CCC8E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Ponidzie” Lokalną Grupę Działania w ramach działania „Wsparcie dla rozwoju lokalnego w ramach inicjatywy LEADER” objętego Programem Rozwoju Obszarów Wiejskich na lata 2014 – 2020. </w:t>
      </w:r>
    </w:p>
    <w:p w14:paraId="0E7F72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14:paraId="4A54148F"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14:paraId="16A58E90"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14:paraId="685AF14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14:paraId="03E6BE6F"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14:paraId="46245E0C"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14:paraId="7C38D543"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W końcowych etapach większy nacisk zostanie położony na wyłonienie najlepszych praktyk i promowanie pozytywnych efektów </w:t>
      </w:r>
      <w:proofErr w:type="spellStart"/>
      <w:r w:rsidRPr="00220AB0">
        <w:rPr>
          <w:rFonts w:ascii="Arial Narrow" w:hAnsi="Arial Narrow" w:cs="Times New Roman"/>
        </w:rPr>
        <w:t>ekonomiczno</w:t>
      </w:r>
      <w:proofErr w:type="spellEnd"/>
      <w:r w:rsidRPr="00220AB0">
        <w:rPr>
          <w:rFonts w:ascii="Arial Narrow" w:hAnsi="Arial Narrow" w:cs="Times New Roman"/>
        </w:rPr>
        <w:t xml:space="preserve"> – społecznych z wdrożenia LSR.</w:t>
      </w:r>
    </w:p>
    <w:p w14:paraId="2B5A628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lastRenderedPageBreak/>
        <w:t>CELE</w:t>
      </w:r>
      <w:bookmarkEnd w:id="2"/>
      <w:bookmarkEnd w:id="3"/>
    </w:p>
    <w:p w14:paraId="458394C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14:paraId="63EED900" w14:textId="77777777" w:rsidR="003869AB" w:rsidRPr="00220AB0" w:rsidRDefault="003869AB" w:rsidP="003869AB">
      <w:pPr>
        <w:spacing w:line="240" w:lineRule="auto"/>
        <w:rPr>
          <w:rFonts w:ascii="Arial Narrow" w:hAnsi="Arial Narrow" w:cs="Times New Roman"/>
        </w:rPr>
      </w:pPr>
      <w:r w:rsidRPr="00220AB0">
        <w:rPr>
          <w:rFonts w:ascii="Arial Narrow" w:hAnsi="Arial Narrow" w:cs="Times New Roman"/>
        </w:rPr>
        <w:t>Głównym celem Planu Komunikacji jest:</w:t>
      </w:r>
    </w:p>
    <w:p w14:paraId="5D07BEDF"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14:paraId="0D32641B" w14:textId="77777777" w:rsidR="003869AB" w:rsidRPr="00220AB0" w:rsidRDefault="003869AB" w:rsidP="004D2DCE">
      <w:pPr>
        <w:autoSpaceDE w:val="0"/>
        <w:autoSpaceDN w:val="0"/>
        <w:adjustRightInd w:val="0"/>
        <w:spacing w:line="240" w:lineRule="auto"/>
        <w:jc w:val="left"/>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14:paraId="61371348"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14:paraId="18EBA932"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14:paraId="23C69631"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14:paraId="147CA407"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14:paraId="0CAD6C4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14:paraId="74206B95" w14:textId="77777777" w:rsidR="003869AB" w:rsidRPr="00220AB0" w:rsidRDefault="003869AB" w:rsidP="003869AB">
      <w:pPr>
        <w:autoSpaceDE w:val="0"/>
        <w:autoSpaceDN w:val="0"/>
        <w:adjustRightInd w:val="0"/>
        <w:spacing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14:paraId="1ACC3A61" w14:textId="77777777" w:rsidR="003869AB" w:rsidRPr="00220AB0" w:rsidRDefault="003869AB" w:rsidP="004D2DCE">
      <w:pPr>
        <w:numPr>
          <w:ilvl w:val="0"/>
          <w:numId w:val="7"/>
        </w:numPr>
        <w:autoSpaceDE w:val="0"/>
        <w:autoSpaceDN w:val="0"/>
        <w:adjustRightInd w:val="0"/>
        <w:ind w:left="709"/>
        <w:contextualSpacing/>
        <w:jc w:val="left"/>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14:paraId="27E84979"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beneficjentami,</w:t>
      </w:r>
    </w:p>
    <w:p w14:paraId="15575D35"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opinią publiczną,</w:t>
      </w:r>
    </w:p>
    <w:p w14:paraId="539F8136"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14:paraId="292CCEFC"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mediami.</w:t>
      </w:r>
    </w:p>
    <w:p w14:paraId="370D4F45"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14:paraId="14A6ECF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dzieci i młodzież</w:t>
      </w:r>
    </w:p>
    <w:p w14:paraId="62DDDD4E"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osoby starsze,</w:t>
      </w:r>
    </w:p>
    <w:p w14:paraId="747FD2CC"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III sektor,</w:t>
      </w:r>
    </w:p>
    <w:p w14:paraId="66C6D7A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14:paraId="754C82D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14:paraId="1343D257"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2BE9067C"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14:paraId="25AA8356"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Ponidzie” oraz wniosków wyciągniętych z </w:t>
      </w:r>
      <w:r w:rsidRPr="00220AB0">
        <w:rPr>
          <w:rFonts w:ascii="Arial Narrow" w:hAnsi="Arial Narrow" w:cs="Times New Roman"/>
        </w:rPr>
        <w:lastRenderedPageBreak/>
        <w:t xml:space="preserve">przeprowadzonych w ramach PROW 2007 – 2014 ankiet ewaluacyjnych skierowanych do mieszkańców obszaru LGD. Pod analizę poddano również kanały i narzędzia komunikacyjne przedstawione w opracowaniu „Ocena skuteczności i użyteczności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PROW 2007 – 2013” wydanym przez Ministerstwo Rolnictwa i Rozwoju Wsi.</w:t>
      </w:r>
    </w:p>
    <w:p w14:paraId="197D4E3D" w14:textId="77777777" w:rsidR="003869AB" w:rsidRPr="00220AB0" w:rsidRDefault="003869AB" w:rsidP="003869AB">
      <w:pPr>
        <w:rPr>
          <w:rFonts w:ascii="Arial Narrow" w:hAnsi="Arial Narrow" w:cs="Times New Roman"/>
          <w:b/>
          <w:bCs/>
          <w:i/>
          <w:color w:val="943634" w:themeColor="accent2" w:themeShade="BF"/>
          <w:lang w:bidi="en-US"/>
        </w:rPr>
      </w:pPr>
      <w:bookmarkStart w:id="8" w:name="_Toc436040849"/>
    </w:p>
    <w:p w14:paraId="772F456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1</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1"/>
        <w:gridCol w:w="1275"/>
        <w:gridCol w:w="851"/>
        <w:gridCol w:w="992"/>
        <w:gridCol w:w="709"/>
        <w:gridCol w:w="1134"/>
        <w:gridCol w:w="709"/>
        <w:gridCol w:w="2693"/>
      </w:tblGrid>
      <w:tr w:rsidR="003869AB" w:rsidRPr="00220AB0" w14:paraId="5A891F81" w14:textId="77777777" w:rsidTr="00283B1F">
        <w:tc>
          <w:tcPr>
            <w:tcW w:w="2376" w:type="dxa"/>
            <w:gridSpan w:val="2"/>
            <w:vMerge w:val="restart"/>
            <w:tcBorders>
              <w:top w:val="double" w:sz="4" w:space="0" w:color="auto"/>
              <w:bottom w:val="single" w:sz="6" w:space="0" w:color="auto"/>
            </w:tcBorders>
            <w:shd w:val="clear" w:color="auto" w:fill="B8CCE4" w:themeFill="accent1" w:themeFillTint="66"/>
            <w:vAlign w:val="center"/>
          </w:tcPr>
          <w:p w14:paraId="6B85CEE3"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14:paraId="075ED846" w14:textId="77777777" w:rsidR="003869AB" w:rsidRPr="00220AB0" w:rsidRDefault="003869AB" w:rsidP="00283B1F">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14:paraId="5C9BA801" w14:textId="77777777" w:rsidR="003869AB" w:rsidRPr="00220AB0" w:rsidRDefault="003869AB" w:rsidP="00283B1F">
            <w:pPr>
              <w:rPr>
                <w:rFonts w:ascii="Arial Narrow" w:hAnsi="Arial Narrow" w:cs="Times New Roman"/>
                <w:b/>
              </w:rPr>
            </w:pPr>
            <w:r w:rsidRPr="00220AB0">
              <w:rPr>
                <w:rFonts w:ascii="Arial Narrow" w:hAnsi="Arial Narrow" w:cs="Times New Roman"/>
                <w:b/>
              </w:rPr>
              <w:t>Uzasadnienie</w:t>
            </w:r>
          </w:p>
        </w:tc>
      </w:tr>
      <w:tr w:rsidR="003869AB" w:rsidRPr="00220AB0" w14:paraId="3C13F841" w14:textId="77777777" w:rsidTr="00283B1F">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14:paraId="598A7C57" w14:textId="77777777" w:rsidR="003869AB" w:rsidRPr="00220AB0" w:rsidRDefault="003869AB" w:rsidP="00283B1F">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14:paraId="30D105B3"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14:paraId="5DD473A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3A6690E9"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14:paraId="0BD2050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1318855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14:paraId="2EC0F8C2" w14:textId="77777777" w:rsidR="003869AB" w:rsidRPr="00220AB0" w:rsidRDefault="003869AB" w:rsidP="00283B1F">
            <w:pPr>
              <w:rPr>
                <w:rFonts w:ascii="Arial Narrow" w:hAnsi="Arial Narrow" w:cs="Times New Roman"/>
                <w:b/>
              </w:rPr>
            </w:pPr>
          </w:p>
        </w:tc>
      </w:tr>
      <w:tr w:rsidR="003869AB" w:rsidRPr="00220AB0" w14:paraId="1D9AEE53" w14:textId="77777777" w:rsidTr="00283B1F">
        <w:tc>
          <w:tcPr>
            <w:tcW w:w="2376" w:type="dxa"/>
            <w:gridSpan w:val="2"/>
            <w:tcBorders>
              <w:top w:val="double" w:sz="4" w:space="0" w:color="auto"/>
            </w:tcBorders>
            <w:shd w:val="clear" w:color="auto" w:fill="B8CCE4" w:themeFill="accent1" w:themeFillTint="66"/>
            <w:vAlign w:val="center"/>
          </w:tcPr>
          <w:p w14:paraId="65279DEB"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i profil na portalu społecznościowym Facebook</w:t>
            </w:r>
          </w:p>
        </w:tc>
        <w:tc>
          <w:tcPr>
            <w:tcW w:w="851" w:type="dxa"/>
            <w:tcBorders>
              <w:top w:val="double" w:sz="4" w:space="0" w:color="auto"/>
            </w:tcBorders>
            <w:vAlign w:val="center"/>
          </w:tcPr>
          <w:p w14:paraId="3BE22513"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tcBorders>
              <w:top w:val="double" w:sz="4" w:space="0" w:color="auto"/>
            </w:tcBorders>
            <w:vAlign w:val="center"/>
          </w:tcPr>
          <w:p w14:paraId="6DB52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59E0F96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14:paraId="26CD5C3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2F572B0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14:paraId="3E1A9A36"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Strony w/w LGD były najczęściej odwiedzanym miejscem, jeżeli chodzi o uzyskanie informacji o możliwości dofinansowania. Badania ewaluacyjne wskazały na prowadzenie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z wykorzystaniem narzędzi nowoczesnej komunikacji (portale społecznościowe).</w:t>
            </w:r>
          </w:p>
        </w:tc>
      </w:tr>
      <w:tr w:rsidR="003869AB" w:rsidRPr="00220AB0" w14:paraId="575EFDF1" w14:textId="77777777" w:rsidTr="00283B1F">
        <w:trPr>
          <w:trHeight w:val="2539"/>
        </w:trPr>
        <w:tc>
          <w:tcPr>
            <w:tcW w:w="2376" w:type="dxa"/>
            <w:gridSpan w:val="2"/>
            <w:shd w:val="clear" w:color="auto" w:fill="B8CCE4" w:themeFill="accent1" w:themeFillTint="66"/>
            <w:vAlign w:val="center"/>
          </w:tcPr>
          <w:p w14:paraId="5BB59E6C"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p w14:paraId="618B7EE2"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14:paraId="3F8F8249" w14:textId="77777777" w:rsidR="003869AB" w:rsidRPr="00220AB0" w:rsidRDefault="003869AB" w:rsidP="00283B1F">
            <w:pPr>
              <w:rPr>
                <w:rFonts w:ascii="Arial Narrow" w:hAnsi="Arial Narrow" w:cs="Times New Roman"/>
              </w:rPr>
            </w:pPr>
          </w:p>
        </w:tc>
        <w:tc>
          <w:tcPr>
            <w:tcW w:w="992" w:type="dxa"/>
            <w:shd w:val="clear" w:color="auto" w:fill="FFFFFF" w:themeFill="background1"/>
            <w:vAlign w:val="center"/>
          </w:tcPr>
          <w:p w14:paraId="7F8610B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553C59C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074C2525"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F39C2BA"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35F01B95" w14:textId="77777777" w:rsidR="003869AB" w:rsidRPr="00220AB0" w:rsidRDefault="003869AB" w:rsidP="00283B1F">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3869AB" w:rsidRPr="00220AB0" w14:paraId="4DF54D94" w14:textId="77777777" w:rsidTr="00283B1F">
        <w:tc>
          <w:tcPr>
            <w:tcW w:w="2376" w:type="dxa"/>
            <w:gridSpan w:val="2"/>
            <w:shd w:val="clear" w:color="auto" w:fill="B8CCE4" w:themeFill="accent1" w:themeFillTint="66"/>
            <w:vAlign w:val="center"/>
          </w:tcPr>
          <w:p w14:paraId="7240E615"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851" w:type="dxa"/>
            <w:vAlign w:val="center"/>
          </w:tcPr>
          <w:p w14:paraId="3EC7A42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0BF1FF3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5DD94CB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746080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5219EE1"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65D8EC7C"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Wnioski wyniesione z analizy badań ewaluacyjnych wskazały na potrzebę wzmocnienia niniejszego </w:t>
            </w:r>
            <w:r w:rsidRPr="00220AB0">
              <w:rPr>
                <w:rFonts w:ascii="Arial Narrow" w:hAnsi="Arial Narrow" w:cs="Times New Roman"/>
              </w:rPr>
              <w:lastRenderedPageBreak/>
              <w:t>kanału komunikacyjnego, ze względu na jego praktyczne zastosowanie, w celu pokazania „wartości dodanej” zrealizowanych przedsięwzięć.</w:t>
            </w:r>
          </w:p>
        </w:tc>
      </w:tr>
      <w:tr w:rsidR="003869AB" w:rsidRPr="00220AB0" w14:paraId="2A868CBC" w14:textId="77777777" w:rsidTr="00283B1F">
        <w:tc>
          <w:tcPr>
            <w:tcW w:w="2376" w:type="dxa"/>
            <w:gridSpan w:val="2"/>
            <w:shd w:val="clear" w:color="auto" w:fill="B8CCE4" w:themeFill="accent1" w:themeFillTint="66"/>
            <w:vAlign w:val="center"/>
          </w:tcPr>
          <w:p w14:paraId="56ADFC42"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w:t>
            </w:r>
          </w:p>
        </w:tc>
        <w:tc>
          <w:tcPr>
            <w:tcW w:w="851" w:type="dxa"/>
            <w:vAlign w:val="center"/>
          </w:tcPr>
          <w:p w14:paraId="6BB3537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599677E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7C832AF0"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133EB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05999F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8748E5D"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3869AB" w:rsidRPr="00220AB0" w14:paraId="415FF744" w14:textId="77777777" w:rsidTr="00283B1F">
        <w:tc>
          <w:tcPr>
            <w:tcW w:w="2376" w:type="dxa"/>
            <w:gridSpan w:val="2"/>
            <w:shd w:val="clear" w:color="auto" w:fill="B8CCE4" w:themeFill="accent1" w:themeFillTint="66"/>
            <w:vAlign w:val="center"/>
          </w:tcPr>
          <w:p w14:paraId="06D1C105"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851" w:type="dxa"/>
            <w:vAlign w:val="center"/>
          </w:tcPr>
          <w:p w14:paraId="37E6A38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261D1DA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460884A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D6292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65F67EC2"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3C69C965"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Druk materiałów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wskazano w badaniach ewaluacyjnych jako dobrą praktykę do kontynuowania.</w:t>
            </w:r>
          </w:p>
        </w:tc>
      </w:tr>
      <w:tr w:rsidR="003869AB" w:rsidRPr="00220AB0" w14:paraId="766115B0" w14:textId="77777777" w:rsidTr="00283B1F">
        <w:trPr>
          <w:trHeight w:val="1277"/>
        </w:trPr>
        <w:tc>
          <w:tcPr>
            <w:tcW w:w="1101" w:type="dxa"/>
            <w:shd w:val="clear" w:color="auto" w:fill="B8CCE4" w:themeFill="accent1" w:themeFillTint="66"/>
            <w:vAlign w:val="center"/>
          </w:tcPr>
          <w:p w14:paraId="199DC1CC" w14:textId="77777777" w:rsidR="003869AB" w:rsidRPr="00220AB0" w:rsidRDefault="003869AB"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14:paraId="54207DA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14:paraId="7D80977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4940052D"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81371E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D04991B"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14728EE2"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09E02110"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2CF786BE" w14:textId="77777777" w:rsidTr="00283B1F">
        <w:tc>
          <w:tcPr>
            <w:tcW w:w="1101" w:type="dxa"/>
            <w:vMerge w:val="restart"/>
            <w:shd w:val="clear" w:color="auto" w:fill="B8CCE4" w:themeFill="accent1" w:themeFillTint="66"/>
            <w:vAlign w:val="center"/>
          </w:tcPr>
          <w:p w14:paraId="0589E798"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14:paraId="16866001"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14:paraId="3C1DB92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5B555FF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754E78AA"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E7802F9"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D16F5FB" w14:textId="77777777" w:rsidR="003869AB" w:rsidRPr="00220AB0" w:rsidRDefault="003869AB" w:rsidP="00283B1F">
            <w:pPr>
              <w:rPr>
                <w:rFonts w:ascii="Arial Narrow" w:hAnsi="Arial Narrow" w:cs="Times New Roman"/>
              </w:rPr>
            </w:pPr>
          </w:p>
        </w:tc>
        <w:tc>
          <w:tcPr>
            <w:tcW w:w="2693" w:type="dxa"/>
            <w:vMerge w:val="restart"/>
            <w:shd w:val="clear" w:color="auto" w:fill="B8CCE4" w:themeFill="accent1" w:themeFillTint="66"/>
          </w:tcPr>
          <w:p w14:paraId="34E76AC3"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40318494" w14:textId="77777777" w:rsidTr="00283B1F">
        <w:tc>
          <w:tcPr>
            <w:tcW w:w="1101" w:type="dxa"/>
            <w:vMerge/>
            <w:shd w:val="clear" w:color="auto" w:fill="B8CCE4" w:themeFill="accent1" w:themeFillTint="66"/>
            <w:vAlign w:val="center"/>
          </w:tcPr>
          <w:p w14:paraId="2EF900F0" w14:textId="77777777" w:rsidR="003869AB" w:rsidRPr="00220AB0" w:rsidRDefault="003869AB" w:rsidP="00283B1F">
            <w:pPr>
              <w:rPr>
                <w:rFonts w:ascii="Arial Narrow" w:hAnsi="Arial Narrow" w:cs="Times New Roman"/>
              </w:rPr>
            </w:pPr>
          </w:p>
        </w:tc>
        <w:tc>
          <w:tcPr>
            <w:tcW w:w="1275" w:type="dxa"/>
            <w:shd w:val="clear" w:color="auto" w:fill="B8CCE4" w:themeFill="accent1" w:themeFillTint="66"/>
            <w:vAlign w:val="center"/>
          </w:tcPr>
          <w:p w14:paraId="21A5CFD4"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851" w:type="dxa"/>
            <w:shd w:val="clear" w:color="auto" w:fill="D9D9D9" w:themeFill="background1" w:themeFillShade="D9"/>
            <w:vAlign w:val="center"/>
          </w:tcPr>
          <w:p w14:paraId="7122CD48" w14:textId="77777777" w:rsidR="003869AB" w:rsidRPr="00220AB0" w:rsidRDefault="003869AB" w:rsidP="00283B1F">
            <w:pPr>
              <w:rPr>
                <w:rFonts w:ascii="Arial Narrow" w:hAnsi="Arial Narrow" w:cs="Times New Roman"/>
              </w:rPr>
            </w:pPr>
          </w:p>
        </w:tc>
        <w:tc>
          <w:tcPr>
            <w:tcW w:w="992" w:type="dxa"/>
            <w:vAlign w:val="center"/>
          </w:tcPr>
          <w:p w14:paraId="5F2A381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71B7C59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3223306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B03D7E0" w14:textId="77777777" w:rsidR="003869AB" w:rsidRPr="00220AB0" w:rsidRDefault="003869AB" w:rsidP="00283B1F">
            <w:pPr>
              <w:rPr>
                <w:rFonts w:ascii="Arial Narrow" w:hAnsi="Arial Narrow" w:cs="Times New Roman"/>
              </w:rPr>
            </w:pPr>
          </w:p>
        </w:tc>
        <w:tc>
          <w:tcPr>
            <w:tcW w:w="2693" w:type="dxa"/>
            <w:vMerge/>
            <w:shd w:val="clear" w:color="auto" w:fill="B8CCE4" w:themeFill="accent1" w:themeFillTint="66"/>
          </w:tcPr>
          <w:p w14:paraId="2D7D6FA9" w14:textId="77777777" w:rsidR="003869AB" w:rsidRPr="00220AB0" w:rsidRDefault="003869AB" w:rsidP="00283B1F">
            <w:pPr>
              <w:rPr>
                <w:rFonts w:ascii="Arial Narrow" w:hAnsi="Arial Narrow" w:cs="Times New Roman"/>
              </w:rPr>
            </w:pPr>
          </w:p>
        </w:tc>
      </w:tr>
      <w:tr w:rsidR="003869AB" w:rsidRPr="00220AB0" w14:paraId="6F49FA60" w14:textId="77777777" w:rsidTr="00283B1F">
        <w:tc>
          <w:tcPr>
            <w:tcW w:w="2376" w:type="dxa"/>
            <w:gridSpan w:val="2"/>
            <w:shd w:val="clear" w:color="auto" w:fill="B8CCE4" w:themeFill="accent1" w:themeFillTint="66"/>
            <w:vAlign w:val="center"/>
          </w:tcPr>
          <w:p w14:paraId="46B807F8"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851" w:type="dxa"/>
            <w:vAlign w:val="center"/>
          </w:tcPr>
          <w:p w14:paraId="1D1685A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411C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3946EF1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714EE51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7AB8D70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201F63F2" w14:textId="77777777" w:rsidR="003869AB" w:rsidRPr="00220AB0" w:rsidRDefault="003869AB" w:rsidP="00283B1F">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3869AB" w:rsidRPr="00220AB0" w14:paraId="18E51F6E" w14:textId="77777777" w:rsidTr="00283B1F">
        <w:tc>
          <w:tcPr>
            <w:tcW w:w="2376" w:type="dxa"/>
            <w:gridSpan w:val="2"/>
            <w:shd w:val="clear" w:color="auto" w:fill="B8CCE4" w:themeFill="accent1" w:themeFillTint="66"/>
            <w:vAlign w:val="center"/>
          </w:tcPr>
          <w:p w14:paraId="04172F50"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14:paraId="087EBC0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100E3B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A2D99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6259890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FEA62F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DE36D4D" w14:textId="77777777" w:rsidR="003869AB" w:rsidRPr="00220AB0" w:rsidRDefault="003869AB" w:rsidP="00283B1F">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14:paraId="28F38D90" w14:textId="77777777" w:rsidR="003869AB" w:rsidRPr="00220AB0" w:rsidRDefault="003869AB" w:rsidP="003869AB">
      <w:pPr>
        <w:spacing w:line="240" w:lineRule="auto"/>
        <w:rPr>
          <w:rFonts w:ascii="Arial Narrow" w:hAnsi="Arial Narrow" w:cs="Times New Roman"/>
          <w:b/>
        </w:rPr>
      </w:pPr>
    </w:p>
    <w:p w14:paraId="228A958C" w14:textId="77777777" w:rsidR="003869AB" w:rsidRPr="00220AB0" w:rsidRDefault="003869AB" w:rsidP="003869AB">
      <w:pPr>
        <w:spacing w:line="240" w:lineRule="auto"/>
        <w:rPr>
          <w:rFonts w:ascii="Arial Narrow" w:hAnsi="Arial Narrow" w:cs="Times New Roman"/>
          <w:b/>
        </w:rPr>
      </w:pPr>
      <w:r w:rsidRPr="00220AB0">
        <w:rPr>
          <w:rFonts w:ascii="Arial Narrow" w:hAnsi="Arial Narrow" w:cs="Times New Roman"/>
          <w:b/>
        </w:rPr>
        <w:t>Działania komunikacyjne Lokalnej Grupy Działania:</w:t>
      </w:r>
    </w:p>
    <w:p w14:paraId="3997D33B"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profil na portalu społecznościowym Facebook</w:t>
      </w:r>
      <w:r w:rsidRPr="00220AB0">
        <w:rPr>
          <w:rFonts w:ascii="Arial Narrow" w:hAnsi="Arial Narrow" w:cs="Times New Roman"/>
        </w:rPr>
        <w:t xml:space="preserve">. Strona zawiera informacje oraz dokumenty niezbędne do prawidłowego wdrożenia LSR dla „Królewskiego Ponidzia” Lokalnej Grupy Działania. Na stronie publikowane będą w szczególności </w:t>
      </w:r>
      <w:r w:rsidRPr="00220AB0">
        <w:rPr>
          <w:rFonts w:ascii="Arial Narrow" w:hAnsi="Arial Narrow" w:cs="TimesNewRomanPSMT"/>
        </w:rPr>
        <w:t>terminy naboru wniosków o pomoc, dokumenty niezbędne do ubiegania o pomoc finansową dostępną w LGD (wnioski o pomoc, wnioski o płatność, instrukcje wypełniania wniosków) oraz inne informacje praktyczne dla beneficjentów. Na profilu LGD zamieszczonym na Facebook-u będą publikowane najważniejsze aktualne informacje dotyczące prezentacji dobrych projektów zrealizowanych w ramach LSR.</w:t>
      </w:r>
    </w:p>
    <w:p w14:paraId="108F6131"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Szkolenia:</w:t>
      </w:r>
    </w:p>
    <w:p w14:paraId="679057B6" w14:textId="77777777" w:rsidR="003869AB" w:rsidRPr="00220AB0" w:rsidRDefault="003869AB" w:rsidP="003869AB">
      <w:pPr>
        <w:numPr>
          <w:ilvl w:val="1"/>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14:paraId="2781C2D3"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14:paraId="381BED19"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Spotkania </w:t>
      </w:r>
      <w:proofErr w:type="spellStart"/>
      <w:r w:rsidRPr="00220AB0">
        <w:rPr>
          <w:rFonts w:ascii="Arial Narrow" w:hAnsi="Arial Narrow" w:cs="Times New Roman"/>
          <w:b/>
          <w:i/>
        </w:rPr>
        <w:t>informacyjno</w:t>
      </w:r>
      <w:proofErr w:type="spellEnd"/>
      <w:r w:rsidRPr="00220AB0">
        <w:rPr>
          <w:rFonts w:ascii="Arial Narrow" w:hAnsi="Arial Narrow" w:cs="Times New Roman"/>
          <w:b/>
          <w:i/>
        </w:rPr>
        <w:t xml:space="preserve">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w:t>
      </w:r>
      <w:r>
        <w:rPr>
          <w:rFonts w:ascii="Arial Narrow" w:hAnsi="Arial Narrow" w:cs="Times New Roman"/>
        </w:rPr>
        <w:t xml:space="preserve"> </w:t>
      </w:r>
      <w:r w:rsidRPr="006269AF">
        <w:rPr>
          <w:rFonts w:ascii="Arial Narrow" w:hAnsi="Arial Narrow" w:cs="Times New Roman"/>
        </w:rPr>
        <w:t xml:space="preserve">18 </w:t>
      </w:r>
      <w:r w:rsidRPr="00220AB0">
        <w:rPr>
          <w:rFonts w:ascii="Arial Narrow" w:hAnsi="Arial Narrow" w:cs="Times New Roman"/>
        </w:rPr>
        <w:t>spotkań w okresie 2016 – 2022.</w:t>
      </w:r>
    </w:p>
    <w:p w14:paraId="2263A6C2"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Materiały </w:t>
      </w:r>
      <w:proofErr w:type="spellStart"/>
      <w:r w:rsidRPr="00220AB0">
        <w:rPr>
          <w:rFonts w:ascii="Arial Narrow" w:hAnsi="Arial Narrow" w:cs="Times New Roman"/>
          <w:b/>
          <w:i/>
        </w:rPr>
        <w:t>informacyjno</w:t>
      </w:r>
      <w:proofErr w:type="spellEnd"/>
      <w:r w:rsidRPr="00220AB0">
        <w:rPr>
          <w:rFonts w:ascii="Arial Narrow" w:hAnsi="Arial Narrow" w:cs="Times New Roman"/>
          <w:b/>
          <w:i/>
        </w:rPr>
        <w:t xml:space="preserve"> – promocyjne</w:t>
      </w:r>
      <w:r w:rsidRPr="00220AB0">
        <w:rPr>
          <w:rFonts w:ascii="Arial Narrow" w:hAnsi="Arial Narrow" w:cs="Times New Roman"/>
        </w:rPr>
        <w:t>:</w:t>
      </w:r>
    </w:p>
    <w:p w14:paraId="64012FAD" w14:textId="77777777" w:rsidR="003869AB" w:rsidRPr="006269AF"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biuletyn</w:t>
      </w:r>
      <w:r w:rsidRPr="002C3C9D">
        <w:rPr>
          <w:rFonts w:ascii="Arial Narrow" w:hAnsi="Arial Narrow" w:cs="Times New Roman"/>
        </w:rPr>
        <w:t>. Zostanie przygotowany przez LGD i będzie rozprowadzany na spotkaniach. Biuletyn powinien być łatwo dostępny na stronie internetowej LGD</w:t>
      </w:r>
      <w:r w:rsidRPr="006269AF">
        <w:rPr>
          <w:rFonts w:ascii="Arial Narrow" w:hAnsi="Arial Narrow" w:cs="Times New Roman"/>
        </w:rPr>
        <w:t>. Biuletyn będzie dotyczył promocji obszaru LGD.</w:t>
      </w:r>
    </w:p>
    <w:p w14:paraId="1C8ED977" w14:textId="77777777" w:rsidR="003869AB" w:rsidRPr="002C3C9D"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ulotki</w:t>
      </w:r>
      <w:r w:rsidRPr="002C3C9D">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14:paraId="2F396700" w14:textId="77777777" w:rsidR="003869AB" w:rsidRPr="006269AF" w:rsidRDefault="003869AB" w:rsidP="003869AB">
      <w:pPr>
        <w:numPr>
          <w:ilvl w:val="1"/>
          <w:numId w:val="3"/>
        </w:numPr>
        <w:autoSpaceDE w:val="0"/>
        <w:autoSpaceDN w:val="0"/>
        <w:adjustRightInd w:val="0"/>
        <w:spacing w:line="240" w:lineRule="auto"/>
        <w:contextualSpacing/>
        <w:jc w:val="left"/>
        <w:rPr>
          <w:rFonts w:ascii="Arial Narrow" w:hAnsi="Arial Narrow" w:cs="Times New Roman"/>
        </w:rPr>
      </w:pPr>
      <w:r>
        <w:rPr>
          <w:rFonts w:ascii="Arial Narrow" w:hAnsi="Arial Narrow" w:cs="Times New Roman"/>
          <w:b/>
          <w:i/>
        </w:rPr>
        <w:lastRenderedPageBreak/>
        <w:t>p</w:t>
      </w:r>
      <w:r w:rsidRPr="00220AB0">
        <w:rPr>
          <w:rFonts w:ascii="Arial Narrow" w:hAnsi="Arial Narrow" w:cs="Times New Roman"/>
          <w:b/>
          <w:i/>
        </w:rPr>
        <w:t>ublikacj</w:t>
      </w:r>
      <w:r>
        <w:rPr>
          <w:rFonts w:ascii="Arial Narrow" w:hAnsi="Arial Narrow" w:cs="Times New Roman"/>
          <w:b/>
          <w:i/>
        </w:rPr>
        <w:t>a</w:t>
      </w:r>
      <w:r w:rsidRPr="006269AF">
        <w:rPr>
          <w:rFonts w:ascii="Arial Narrow" w:hAnsi="Arial Narrow" w:cs="Times New Roman"/>
          <w:b/>
        </w:rPr>
        <w:t>/ raport</w:t>
      </w:r>
      <w:r w:rsidRPr="00265844">
        <w:rPr>
          <w:rFonts w:ascii="Arial Narrow" w:hAnsi="Arial Narrow" w:cs="Times New Roman"/>
          <w:color w:val="FF0000"/>
        </w:rPr>
        <w:t xml:space="preserve">  </w:t>
      </w:r>
      <w:r w:rsidRPr="00220AB0">
        <w:rPr>
          <w:rFonts w:ascii="Arial Narrow" w:hAnsi="Arial Narrow" w:cs="Times New Roman"/>
        </w:rPr>
        <w:t xml:space="preserve">W okresie wdrażania LSR zakłada się opracowanie 3 </w:t>
      </w:r>
      <w:r w:rsidRPr="006269AF">
        <w:rPr>
          <w:rFonts w:ascii="Arial Narrow" w:hAnsi="Arial Narrow" w:cs="Times New Roman"/>
        </w:rPr>
        <w:t>publikacji/raportów, które powinny mieć atrakcyjną formę (z wieloma zdjęciami), napisane prostym językiem i zawierać informacje dotyczące między innymi bieżących wydarzeń w ramach PROW 2014 – 2020 oraz projektów, zarówno tych zakończonych, jak i będących w trakcie realizacji- po jednej w latach 2018, 2020, 2022.</w:t>
      </w:r>
    </w:p>
    <w:p w14:paraId="48312A64"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Pr="00220AB0">
        <w:rPr>
          <w:rFonts w:ascii="Arial Narrow" w:hAnsi="Arial Narrow" w:cs="Times New Roman"/>
        </w:rPr>
        <w:t xml:space="preserve">. </w:t>
      </w:r>
    </w:p>
    <w:p w14:paraId="21340B6E"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Bezpośrednie konsultacje z:</w:t>
      </w:r>
    </w:p>
    <w:p w14:paraId="64A75147"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14:paraId="01E5F43A"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14:paraId="6DD709F8"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 xml:space="preserve">Punkty </w:t>
      </w:r>
      <w:proofErr w:type="spellStart"/>
      <w:r w:rsidRPr="00220AB0">
        <w:rPr>
          <w:rFonts w:ascii="Arial Narrow" w:hAnsi="Arial Narrow" w:cs="Times New Roman"/>
          <w:b/>
          <w:i/>
          <w:color w:val="000000"/>
        </w:rPr>
        <w:t>Informacyjno</w:t>
      </w:r>
      <w:proofErr w:type="spellEnd"/>
      <w:r w:rsidRPr="00220AB0">
        <w:rPr>
          <w:rFonts w:ascii="Arial Narrow" w:hAnsi="Arial Narrow" w:cs="Times New Roman"/>
          <w:b/>
          <w:i/>
          <w:color w:val="000000"/>
        </w:rPr>
        <w:t xml:space="preserve"> – Konsultacyjne.</w:t>
      </w:r>
      <w:r w:rsidRPr="00220AB0">
        <w:rPr>
          <w:rFonts w:ascii="Arial Narrow" w:hAnsi="Arial Narrow" w:cs="Times New Roman"/>
          <w:color w:val="000000"/>
        </w:rPr>
        <w:t xml:space="preserve"> Podczas  lokalnych wydarzeniach kulturalnych Lokalna Grupa Działania zorganizuje Punkty </w:t>
      </w:r>
      <w:proofErr w:type="spellStart"/>
      <w:r w:rsidRPr="00220AB0">
        <w:rPr>
          <w:rFonts w:ascii="Arial Narrow" w:hAnsi="Arial Narrow" w:cs="Times New Roman"/>
          <w:color w:val="000000"/>
        </w:rPr>
        <w:t>Informacyjno</w:t>
      </w:r>
      <w:proofErr w:type="spellEnd"/>
      <w:r w:rsidRPr="00220AB0">
        <w:rPr>
          <w:rFonts w:ascii="Arial Narrow" w:hAnsi="Arial Narrow" w:cs="Times New Roman"/>
          <w:color w:val="000000"/>
        </w:rPr>
        <w:t xml:space="preserve"> – Konsultacyjne, w których mieszkańcy obszaru LGD pozyskają informacje na temat możliwości ubiegania się o pomoc finansową w ramach Lokalnej Strategii Rozwoju.</w:t>
      </w:r>
    </w:p>
    <w:p w14:paraId="6DA65213"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14:paraId="20A791B9"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14:paraId="578E328F"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14:paraId="05367550"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53F3DFB"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14:paraId="36397756" w14:textId="77777777" w:rsidR="003869AB" w:rsidRPr="00220AB0" w:rsidRDefault="003869AB" w:rsidP="003869AB">
      <w:pPr>
        <w:spacing w:line="240" w:lineRule="auto"/>
        <w:jc w:val="both"/>
        <w:rPr>
          <w:rFonts w:ascii="Arial Narrow" w:hAnsi="Arial Narrow"/>
        </w:rPr>
      </w:pPr>
      <w:r w:rsidRPr="00220AB0">
        <w:rPr>
          <w:rFonts w:ascii="Arial Narrow" w:hAnsi="Arial Narrow"/>
        </w:rPr>
        <w:t xml:space="preserve">Działania </w:t>
      </w:r>
      <w:proofErr w:type="spellStart"/>
      <w:r w:rsidRPr="00220AB0">
        <w:rPr>
          <w:rFonts w:ascii="Arial Narrow" w:hAnsi="Arial Narrow"/>
        </w:rPr>
        <w:t>informacyjno</w:t>
      </w:r>
      <w:proofErr w:type="spellEnd"/>
      <w:r w:rsidRPr="00220AB0">
        <w:rPr>
          <w:rFonts w:ascii="Arial Narrow" w:hAnsi="Arial Narrow"/>
        </w:rPr>
        <w:t xml:space="preserve"> – promocyjne przyczyniające się do prawidłowego i skutecznego wdrażania Lokalnej Strategii Rozwoju będą prowadzone w sposób systematyczny i ciągły.</w:t>
      </w:r>
    </w:p>
    <w:p w14:paraId="55A3FE1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2</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24"/>
        <w:gridCol w:w="1405"/>
        <w:gridCol w:w="646"/>
        <w:gridCol w:w="646"/>
        <w:gridCol w:w="647"/>
        <w:gridCol w:w="647"/>
        <w:gridCol w:w="647"/>
        <w:gridCol w:w="647"/>
        <w:gridCol w:w="647"/>
        <w:gridCol w:w="643"/>
        <w:gridCol w:w="643"/>
      </w:tblGrid>
      <w:tr w:rsidR="00A72B1D" w:rsidRPr="00220AB0" w14:paraId="74D1D4F6" w14:textId="455EECD7" w:rsidTr="00A72B1D">
        <w:tc>
          <w:tcPr>
            <w:tcW w:w="3304" w:type="dxa"/>
            <w:gridSpan w:val="2"/>
            <w:tcBorders>
              <w:top w:val="double" w:sz="4" w:space="0" w:color="auto"/>
              <w:bottom w:val="double" w:sz="4" w:space="0" w:color="auto"/>
            </w:tcBorders>
            <w:shd w:val="clear" w:color="auto" w:fill="C6D9F1" w:themeFill="text2" w:themeFillTint="33"/>
            <w:vAlign w:val="center"/>
          </w:tcPr>
          <w:p w14:paraId="0F5704F5" w14:textId="77777777" w:rsidR="00A72B1D" w:rsidRPr="00220AB0" w:rsidRDefault="00A72B1D" w:rsidP="00283B1F">
            <w:pPr>
              <w:rPr>
                <w:rFonts w:ascii="Arial Narrow" w:hAnsi="Arial Narrow" w:cs="Times New Roman"/>
                <w:b/>
              </w:rPr>
            </w:pPr>
            <w:r w:rsidRPr="00220AB0">
              <w:rPr>
                <w:rFonts w:ascii="Arial Narrow" w:hAnsi="Arial Narrow" w:cs="Times New Roman"/>
                <w:b/>
              </w:rPr>
              <w:t>Kanały komunikacji</w:t>
            </w:r>
          </w:p>
        </w:tc>
        <w:tc>
          <w:tcPr>
            <w:tcW w:w="689" w:type="dxa"/>
            <w:tcBorders>
              <w:top w:val="double" w:sz="4" w:space="0" w:color="auto"/>
              <w:bottom w:val="double" w:sz="4" w:space="0" w:color="auto"/>
            </w:tcBorders>
            <w:shd w:val="clear" w:color="auto" w:fill="C6D9F1" w:themeFill="text2" w:themeFillTint="33"/>
          </w:tcPr>
          <w:p w14:paraId="1865ED9E" w14:textId="77777777" w:rsidR="00A72B1D" w:rsidRPr="00220AB0" w:rsidRDefault="00A72B1D" w:rsidP="00283B1F">
            <w:pPr>
              <w:rPr>
                <w:rFonts w:ascii="Arial Narrow" w:hAnsi="Arial Narrow" w:cs="Times New Roman"/>
                <w:b/>
              </w:rPr>
            </w:pPr>
            <w:r w:rsidRPr="00220AB0">
              <w:rPr>
                <w:rFonts w:ascii="Arial Narrow" w:hAnsi="Arial Narrow" w:cs="Times New Roman"/>
                <w:b/>
              </w:rPr>
              <w:t>2016</w:t>
            </w:r>
          </w:p>
        </w:tc>
        <w:tc>
          <w:tcPr>
            <w:tcW w:w="689" w:type="dxa"/>
            <w:tcBorders>
              <w:top w:val="double" w:sz="4" w:space="0" w:color="auto"/>
              <w:bottom w:val="double" w:sz="4" w:space="0" w:color="auto"/>
            </w:tcBorders>
            <w:shd w:val="clear" w:color="auto" w:fill="C6D9F1" w:themeFill="text2" w:themeFillTint="33"/>
          </w:tcPr>
          <w:p w14:paraId="19598C3C" w14:textId="77777777" w:rsidR="00A72B1D" w:rsidRPr="00220AB0" w:rsidRDefault="00A72B1D" w:rsidP="00283B1F">
            <w:pPr>
              <w:rPr>
                <w:rFonts w:ascii="Arial Narrow" w:hAnsi="Arial Narrow" w:cs="Times New Roman"/>
                <w:b/>
              </w:rPr>
            </w:pPr>
            <w:r w:rsidRPr="00220AB0">
              <w:rPr>
                <w:rFonts w:ascii="Arial Narrow" w:hAnsi="Arial Narrow" w:cs="Times New Roman"/>
                <w:b/>
              </w:rPr>
              <w:t>2017</w:t>
            </w:r>
          </w:p>
        </w:tc>
        <w:tc>
          <w:tcPr>
            <w:tcW w:w="690" w:type="dxa"/>
            <w:tcBorders>
              <w:top w:val="double" w:sz="4" w:space="0" w:color="auto"/>
              <w:bottom w:val="double" w:sz="4" w:space="0" w:color="auto"/>
            </w:tcBorders>
            <w:shd w:val="clear" w:color="auto" w:fill="C6D9F1" w:themeFill="text2" w:themeFillTint="33"/>
          </w:tcPr>
          <w:p w14:paraId="1B65985D" w14:textId="77777777" w:rsidR="00A72B1D" w:rsidRPr="00220AB0" w:rsidRDefault="00A72B1D" w:rsidP="00283B1F">
            <w:pPr>
              <w:rPr>
                <w:rFonts w:ascii="Arial Narrow" w:hAnsi="Arial Narrow" w:cs="Times New Roman"/>
                <w:b/>
              </w:rPr>
            </w:pPr>
            <w:r w:rsidRPr="00220AB0">
              <w:rPr>
                <w:rFonts w:ascii="Arial Narrow" w:hAnsi="Arial Narrow" w:cs="Times New Roman"/>
                <w:b/>
              </w:rPr>
              <w:t>2018</w:t>
            </w:r>
          </w:p>
        </w:tc>
        <w:tc>
          <w:tcPr>
            <w:tcW w:w="690" w:type="dxa"/>
            <w:tcBorders>
              <w:top w:val="double" w:sz="4" w:space="0" w:color="auto"/>
              <w:bottom w:val="double" w:sz="4" w:space="0" w:color="auto"/>
            </w:tcBorders>
            <w:shd w:val="clear" w:color="auto" w:fill="C6D9F1" w:themeFill="text2" w:themeFillTint="33"/>
          </w:tcPr>
          <w:p w14:paraId="2392F4F7" w14:textId="77777777" w:rsidR="00A72B1D" w:rsidRPr="00220AB0" w:rsidRDefault="00A72B1D" w:rsidP="00283B1F">
            <w:pPr>
              <w:rPr>
                <w:rFonts w:ascii="Arial Narrow" w:hAnsi="Arial Narrow" w:cs="Times New Roman"/>
                <w:b/>
              </w:rPr>
            </w:pPr>
            <w:r w:rsidRPr="00220AB0">
              <w:rPr>
                <w:rFonts w:ascii="Arial Narrow" w:hAnsi="Arial Narrow" w:cs="Times New Roman"/>
                <w:b/>
              </w:rPr>
              <w:t>2019</w:t>
            </w:r>
          </w:p>
        </w:tc>
        <w:tc>
          <w:tcPr>
            <w:tcW w:w="690" w:type="dxa"/>
            <w:tcBorders>
              <w:top w:val="double" w:sz="4" w:space="0" w:color="auto"/>
              <w:bottom w:val="double" w:sz="4" w:space="0" w:color="auto"/>
            </w:tcBorders>
            <w:shd w:val="clear" w:color="auto" w:fill="C6D9F1" w:themeFill="text2" w:themeFillTint="33"/>
          </w:tcPr>
          <w:p w14:paraId="57CC5EA7" w14:textId="77777777" w:rsidR="00A72B1D" w:rsidRPr="00220AB0" w:rsidRDefault="00A72B1D" w:rsidP="00283B1F">
            <w:pPr>
              <w:rPr>
                <w:rFonts w:ascii="Arial Narrow" w:hAnsi="Arial Narrow" w:cs="Times New Roman"/>
                <w:b/>
              </w:rPr>
            </w:pPr>
            <w:r w:rsidRPr="00220AB0">
              <w:rPr>
                <w:rFonts w:ascii="Arial Narrow" w:hAnsi="Arial Narrow" w:cs="Times New Roman"/>
                <w:b/>
              </w:rPr>
              <w:t>2020</w:t>
            </w:r>
          </w:p>
        </w:tc>
        <w:tc>
          <w:tcPr>
            <w:tcW w:w="690" w:type="dxa"/>
            <w:tcBorders>
              <w:top w:val="double" w:sz="4" w:space="0" w:color="auto"/>
              <w:bottom w:val="double" w:sz="4" w:space="0" w:color="auto"/>
            </w:tcBorders>
            <w:shd w:val="clear" w:color="auto" w:fill="C6D9F1" w:themeFill="text2" w:themeFillTint="33"/>
          </w:tcPr>
          <w:p w14:paraId="56580BFA" w14:textId="77777777" w:rsidR="00A72B1D" w:rsidRPr="00220AB0" w:rsidRDefault="00A72B1D" w:rsidP="00283B1F">
            <w:pPr>
              <w:rPr>
                <w:rFonts w:ascii="Arial Narrow" w:hAnsi="Arial Narrow" w:cs="Times New Roman"/>
                <w:b/>
              </w:rPr>
            </w:pPr>
            <w:r w:rsidRPr="00220AB0">
              <w:rPr>
                <w:rFonts w:ascii="Arial Narrow" w:hAnsi="Arial Narrow" w:cs="Times New Roman"/>
                <w:b/>
              </w:rPr>
              <w:t>2021</w:t>
            </w:r>
          </w:p>
        </w:tc>
        <w:tc>
          <w:tcPr>
            <w:tcW w:w="690" w:type="dxa"/>
            <w:tcBorders>
              <w:top w:val="double" w:sz="4" w:space="0" w:color="auto"/>
              <w:bottom w:val="double" w:sz="4" w:space="0" w:color="auto"/>
            </w:tcBorders>
            <w:shd w:val="clear" w:color="auto" w:fill="C6D9F1" w:themeFill="text2" w:themeFillTint="33"/>
          </w:tcPr>
          <w:p w14:paraId="0AD05176" w14:textId="77777777" w:rsidR="00A72B1D" w:rsidRPr="00220AB0" w:rsidRDefault="00A72B1D" w:rsidP="00283B1F">
            <w:pPr>
              <w:rPr>
                <w:rFonts w:ascii="Arial Narrow" w:hAnsi="Arial Narrow" w:cs="Times New Roman"/>
                <w:b/>
              </w:rPr>
            </w:pPr>
            <w:r w:rsidRPr="00220AB0">
              <w:rPr>
                <w:rFonts w:ascii="Arial Narrow" w:hAnsi="Arial Narrow" w:cs="Times New Roman"/>
                <w:b/>
              </w:rPr>
              <w:t>2022</w:t>
            </w:r>
          </w:p>
        </w:tc>
        <w:tc>
          <w:tcPr>
            <w:tcW w:w="680" w:type="dxa"/>
            <w:tcBorders>
              <w:top w:val="double" w:sz="4" w:space="0" w:color="auto"/>
              <w:bottom w:val="double" w:sz="4" w:space="0" w:color="auto"/>
            </w:tcBorders>
            <w:shd w:val="clear" w:color="auto" w:fill="C6D9F1" w:themeFill="text2" w:themeFillTint="33"/>
          </w:tcPr>
          <w:p w14:paraId="38D152AF" w14:textId="2CF1E1A0" w:rsidR="00A72B1D" w:rsidRPr="00220AB0" w:rsidRDefault="00A72B1D" w:rsidP="00283B1F">
            <w:pPr>
              <w:rPr>
                <w:rFonts w:ascii="Arial Narrow" w:hAnsi="Arial Narrow" w:cs="Times New Roman"/>
                <w:b/>
              </w:rPr>
            </w:pPr>
            <w:r>
              <w:rPr>
                <w:rFonts w:ascii="Arial Narrow" w:hAnsi="Arial Narrow" w:cs="Times New Roman"/>
                <w:b/>
              </w:rPr>
              <w:t>2023</w:t>
            </w:r>
          </w:p>
        </w:tc>
        <w:tc>
          <w:tcPr>
            <w:tcW w:w="680" w:type="dxa"/>
            <w:tcBorders>
              <w:top w:val="double" w:sz="4" w:space="0" w:color="auto"/>
              <w:bottom w:val="double" w:sz="4" w:space="0" w:color="auto"/>
            </w:tcBorders>
            <w:shd w:val="clear" w:color="auto" w:fill="C6D9F1" w:themeFill="text2" w:themeFillTint="33"/>
          </w:tcPr>
          <w:p w14:paraId="65B0DDE7" w14:textId="6F0E8FA1" w:rsidR="00A72B1D" w:rsidRPr="00220AB0" w:rsidRDefault="00A72B1D" w:rsidP="00283B1F">
            <w:pPr>
              <w:rPr>
                <w:rFonts w:ascii="Arial Narrow" w:hAnsi="Arial Narrow" w:cs="Times New Roman"/>
                <w:b/>
              </w:rPr>
            </w:pPr>
            <w:r>
              <w:rPr>
                <w:rFonts w:ascii="Arial Narrow" w:hAnsi="Arial Narrow" w:cs="Times New Roman"/>
                <w:b/>
              </w:rPr>
              <w:t>2024</w:t>
            </w:r>
          </w:p>
        </w:tc>
      </w:tr>
      <w:tr w:rsidR="00A72B1D" w:rsidRPr="00220AB0" w14:paraId="1AE9673A" w14:textId="4D3DD30A" w:rsidTr="00A72B1D">
        <w:tc>
          <w:tcPr>
            <w:tcW w:w="3304" w:type="dxa"/>
            <w:gridSpan w:val="2"/>
            <w:tcBorders>
              <w:top w:val="double" w:sz="4" w:space="0" w:color="auto"/>
            </w:tcBorders>
            <w:shd w:val="clear" w:color="auto" w:fill="C6D9F1" w:themeFill="text2" w:themeFillTint="33"/>
            <w:vAlign w:val="center"/>
          </w:tcPr>
          <w:p w14:paraId="30E3CAF1" w14:textId="77777777" w:rsidR="00A72B1D" w:rsidRPr="00220AB0" w:rsidRDefault="00A72B1D"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689" w:type="dxa"/>
            <w:tcBorders>
              <w:top w:val="double" w:sz="4" w:space="0" w:color="auto"/>
            </w:tcBorders>
            <w:vAlign w:val="center"/>
          </w:tcPr>
          <w:p w14:paraId="2DED56D8"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double" w:sz="4" w:space="0" w:color="auto"/>
            </w:tcBorders>
            <w:vAlign w:val="center"/>
          </w:tcPr>
          <w:p w14:paraId="0529676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2070801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16EF73A9"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7B34EAC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382043C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48D47DC2"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tcBorders>
              <w:top w:val="double" w:sz="4" w:space="0" w:color="auto"/>
            </w:tcBorders>
            <w:vAlign w:val="center"/>
          </w:tcPr>
          <w:p w14:paraId="1697191E" w14:textId="1CA903F5" w:rsidR="00A72B1D" w:rsidRPr="00220AB0" w:rsidRDefault="00A72B1D" w:rsidP="00283B1F">
            <w:pPr>
              <w:rPr>
                <w:rFonts w:ascii="Arial Narrow" w:hAnsi="Arial Narrow" w:cs="Times New Roman"/>
              </w:rPr>
            </w:pPr>
            <w:r>
              <w:rPr>
                <w:rFonts w:ascii="Arial Narrow" w:hAnsi="Arial Narrow" w:cs="Times New Roman"/>
              </w:rPr>
              <w:t>x</w:t>
            </w:r>
          </w:p>
        </w:tc>
        <w:tc>
          <w:tcPr>
            <w:tcW w:w="680" w:type="dxa"/>
            <w:tcBorders>
              <w:top w:val="double" w:sz="4" w:space="0" w:color="auto"/>
            </w:tcBorders>
            <w:vAlign w:val="center"/>
          </w:tcPr>
          <w:p w14:paraId="57D60497" w14:textId="1B099A35" w:rsidR="00A72B1D" w:rsidRPr="00220AB0" w:rsidRDefault="00A72B1D" w:rsidP="00283B1F">
            <w:pPr>
              <w:rPr>
                <w:rFonts w:ascii="Arial Narrow" w:hAnsi="Arial Narrow" w:cs="Times New Roman"/>
              </w:rPr>
            </w:pPr>
            <w:r>
              <w:rPr>
                <w:rFonts w:ascii="Arial Narrow" w:hAnsi="Arial Narrow" w:cs="Times New Roman"/>
              </w:rPr>
              <w:t>x</w:t>
            </w:r>
          </w:p>
        </w:tc>
      </w:tr>
      <w:tr w:rsidR="00A72B1D" w:rsidRPr="00220AB0" w14:paraId="057004D6" w14:textId="487B0C84" w:rsidTr="00A72B1D">
        <w:trPr>
          <w:trHeight w:val="535"/>
        </w:trPr>
        <w:tc>
          <w:tcPr>
            <w:tcW w:w="1861" w:type="dxa"/>
            <w:shd w:val="clear" w:color="auto" w:fill="C6D9F1" w:themeFill="text2" w:themeFillTint="33"/>
            <w:vAlign w:val="center"/>
          </w:tcPr>
          <w:p w14:paraId="0729D731" w14:textId="77777777" w:rsidR="00A72B1D" w:rsidRPr="00220AB0" w:rsidRDefault="00A72B1D" w:rsidP="00283B1F">
            <w:pPr>
              <w:rPr>
                <w:rFonts w:ascii="Arial Narrow" w:hAnsi="Arial Narrow" w:cs="Times New Roman"/>
                <w:b/>
              </w:rPr>
            </w:pPr>
            <w:r w:rsidRPr="00220AB0">
              <w:rPr>
                <w:rFonts w:ascii="Arial Narrow" w:hAnsi="Arial Narrow" w:cs="Times New Roman"/>
                <w:b/>
              </w:rPr>
              <w:t>Szkolenia</w:t>
            </w:r>
          </w:p>
        </w:tc>
        <w:tc>
          <w:tcPr>
            <w:tcW w:w="1443" w:type="dxa"/>
            <w:shd w:val="clear" w:color="auto" w:fill="C6D9F1" w:themeFill="text2" w:themeFillTint="33"/>
            <w:vAlign w:val="center"/>
          </w:tcPr>
          <w:p w14:paraId="6B313256" w14:textId="77777777" w:rsidR="00A72B1D" w:rsidRPr="00220AB0" w:rsidRDefault="00A72B1D" w:rsidP="00283B1F">
            <w:pPr>
              <w:rPr>
                <w:rFonts w:ascii="Arial Narrow" w:hAnsi="Arial Narrow" w:cs="Times New Roman"/>
              </w:rPr>
            </w:pPr>
            <w:r w:rsidRPr="00220AB0">
              <w:rPr>
                <w:rFonts w:ascii="Arial Narrow" w:hAnsi="Arial Narrow" w:cs="Times New Roman"/>
              </w:rPr>
              <w:t>dla beneficjentów</w:t>
            </w:r>
          </w:p>
        </w:tc>
        <w:tc>
          <w:tcPr>
            <w:tcW w:w="689" w:type="dxa"/>
            <w:shd w:val="clear" w:color="auto" w:fill="D9D9D9" w:themeFill="background1" w:themeFillShade="D9"/>
            <w:vAlign w:val="center"/>
          </w:tcPr>
          <w:p w14:paraId="59650EA4" w14:textId="77777777" w:rsidR="00A72B1D" w:rsidRPr="00220AB0" w:rsidRDefault="00A72B1D" w:rsidP="00283B1F">
            <w:pPr>
              <w:rPr>
                <w:rFonts w:ascii="Arial Narrow" w:hAnsi="Arial Narrow" w:cs="Times New Roman"/>
              </w:rPr>
            </w:pPr>
          </w:p>
        </w:tc>
        <w:tc>
          <w:tcPr>
            <w:tcW w:w="689" w:type="dxa"/>
            <w:shd w:val="clear" w:color="auto" w:fill="D9D9D9" w:themeFill="background1" w:themeFillShade="D9"/>
            <w:vAlign w:val="center"/>
          </w:tcPr>
          <w:p w14:paraId="14EF9E18" w14:textId="77777777" w:rsidR="00A72B1D" w:rsidRPr="00C968CA" w:rsidRDefault="00A72B1D" w:rsidP="00283B1F">
            <w:pPr>
              <w:rPr>
                <w:rFonts w:ascii="Arial Narrow" w:hAnsi="Arial Narrow" w:cs="Times New Roman"/>
                <w:strike/>
                <w:color w:val="FF0000"/>
              </w:rPr>
            </w:pPr>
          </w:p>
        </w:tc>
        <w:tc>
          <w:tcPr>
            <w:tcW w:w="690" w:type="dxa"/>
            <w:shd w:val="clear" w:color="auto" w:fill="auto"/>
            <w:vAlign w:val="center"/>
          </w:tcPr>
          <w:p w14:paraId="4790C381" w14:textId="77777777" w:rsidR="00A72B1D" w:rsidRPr="00396718" w:rsidRDefault="00A72B1D" w:rsidP="00283B1F">
            <w:pPr>
              <w:rPr>
                <w:rFonts w:ascii="Arial Narrow" w:hAnsi="Arial Narrow" w:cs="Times New Roman"/>
              </w:rPr>
            </w:pPr>
            <w:r w:rsidRPr="00396718">
              <w:rPr>
                <w:rFonts w:ascii="Arial Narrow" w:hAnsi="Arial Narrow" w:cs="Times New Roman"/>
              </w:rPr>
              <w:t>x</w:t>
            </w:r>
          </w:p>
        </w:tc>
        <w:tc>
          <w:tcPr>
            <w:tcW w:w="690" w:type="dxa"/>
            <w:shd w:val="clear" w:color="auto" w:fill="D9D9D9" w:themeFill="background1" w:themeFillShade="D9"/>
            <w:vAlign w:val="center"/>
          </w:tcPr>
          <w:p w14:paraId="17A8FBF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8D6ECE0"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784A256A"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F8A3DC1"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6FF7B2DF"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39C00DE" w14:textId="77777777" w:rsidR="00A72B1D" w:rsidRPr="00220AB0" w:rsidRDefault="00A72B1D" w:rsidP="00283B1F">
            <w:pPr>
              <w:rPr>
                <w:rFonts w:ascii="Arial Narrow" w:hAnsi="Arial Narrow" w:cs="Times New Roman"/>
              </w:rPr>
            </w:pPr>
          </w:p>
        </w:tc>
      </w:tr>
      <w:tr w:rsidR="00A72B1D" w:rsidRPr="00220AB0" w14:paraId="01D81CA5" w14:textId="02DA011F" w:rsidTr="00A72B1D">
        <w:tc>
          <w:tcPr>
            <w:tcW w:w="3304" w:type="dxa"/>
            <w:gridSpan w:val="2"/>
            <w:shd w:val="clear" w:color="auto" w:fill="C6D9F1" w:themeFill="text2" w:themeFillTint="33"/>
            <w:vAlign w:val="center"/>
          </w:tcPr>
          <w:p w14:paraId="3576328D" w14:textId="77777777" w:rsidR="00A72B1D" w:rsidRPr="00220AB0" w:rsidRDefault="00A72B1D" w:rsidP="00283B1F">
            <w:pPr>
              <w:rPr>
                <w:rFonts w:ascii="Arial Narrow" w:hAnsi="Arial Narrow" w:cs="Times New Roman"/>
                <w:b/>
              </w:rPr>
            </w:pPr>
            <w:r w:rsidRPr="00220AB0">
              <w:rPr>
                <w:rFonts w:ascii="Arial Narrow" w:hAnsi="Arial Narrow" w:cs="Times New Roman"/>
                <w:b/>
              </w:rPr>
              <w:t>Wyjazdy studyjne</w:t>
            </w:r>
          </w:p>
        </w:tc>
        <w:tc>
          <w:tcPr>
            <w:tcW w:w="689" w:type="dxa"/>
            <w:shd w:val="clear" w:color="auto" w:fill="D9D9D9" w:themeFill="background1" w:themeFillShade="D9"/>
            <w:vAlign w:val="center"/>
          </w:tcPr>
          <w:p w14:paraId="127E1687" w14:textId="77777777" w:rsidR="00A72B1D" w:rsidRPr="00220AB0" w:rsidRDefault="00A72B1D" w:rsidP="00283B1F">
            <w:pPr>
              <w:rPr>
                <w:rFonts w:ascii="Arial Narrow" w:hAnsi="Arial Narrow" w:cs="Times New Roman"/>
              </w:rPr>
            </w:pPr>
          </w:p>
        </w:tc>
        <w:tc>
          <w:tcPr>
            <w:tcW w:w="689" w:type="dxa"/>
            <w:vAlign w:val="center"/>
          </w:tcPr>
          <w:p w14:paraId="0A33019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61D037A5"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BF3AD94"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1E56CB2D"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2BD50F9"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3D808D8"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719F546B"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0069A5C8" w14:textId="77777777" w:rsidR="00A72B1D" w:rsidRPr="00220AB0" w:rsidRDefault="00A72B1D" w:rsidP="00283B1F">
            <w:pPr>
              <w:rPr>
                <w:rFonts w:ascii="Arial Narrow" w:hAnsi="Arial Narrow" w:cs="Times New Roman"/>
              </w:rPr>
            </w:pPr>
          </w:p>
        </w:tc>
      </w:tr>
      <w:tr w:rsidR="00A72B1D" w:rsidRPr="00220AB0" w14:paraId="11B1E34F" w14:textId="7009A0E1" w:rsidTr="00A72B1D">
        <w:trPr>
          <w:trHeight w:val="547"/>
        </w:trPr>
        <w:tc>
          <w:tcPr>
            <w:tcW w:w="3304" w:type="dxa"/>
            <w:gridSpan w:val="2"/>
            <w:shd w:val="clear" w:color="auto" w:fill="C6D9F1" w:themeFill="text2" w:themeFillTint="33"/>
            <w:vAlign w:val="center"/>
          </w:tcPr>
          <w:p w14:paraId="5ACF85B6" w14:textId="77777777" w:rsidR="00A72B1D" w:rsidRPr="00220AB0" w:rsidRDefault="00A72B1D" w:rsidP="00283B1F">
            <w:pPr>
              <w:rPr>
                <w:rFonts w:ascii="Arial Narrow" w:hAnsi="Arial Narrow" w:cs="Times New Roman"/>
                <w:b/>
              </w:rPr>
            </w:pPr>
            <w:r w:rsidRPr="00220AB0">
              <w:rPr>
                <w:rFonts w:ascii="Arial Narrow" w:hAnsi="Arial Narrow" w:cs="Times New Roman"/>
                <w:b/>
              </w:rPr>
              <w:lastRenderedPageBreak/>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w:t>
            </w:r>
          </w:p>
        </w:tc>
        <w:tc>
          <w:tcPr>
            <w:tcW w:w="689" w:type="dxa"/>
            <w:vAlign w:val="center"/>
          </w:tcPr>
          <w:p w14:paraId="6649718E"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2A964EA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6353E5A8"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249E5671"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96702EB" w14:textId="77777777" w:rsidR="00A72B1D" w:rsidRPr="00220AB0" w:rsidRDefault="00A72B1D" w:rsidP="00283B1F">
            <w:pPr>
              <w:rPr>
                <w:rFonts w:ascii="Arial Narrow" w:hAnsi="Arial Narrow" w:cs="Times New Roman"/>
              </w:rPr>
            </w:pPr>
          </w:p>
        </w:tc>
        <w:tc>
          <w:tcPr>
            <w:tcW w:w="690" w:type="dxa"/>
            <w:tcBorders>
              <w:bottom w:val="single" w:sz="6" w:space="0" w:color="auto"/>
            </w:tcBorders>
            <w:shd w:val="clear" w:color="auto" w:fill="D9D9D9" w:themeFill="background1" w:themeFillShade="D9"/>
            <w:vAlign w:val="center"/>
          </w:tcPr>
          <w:p w14:paraId="2FE7D15B"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B575DAF"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46038FC0"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C6DC38E" w14:textId="77777777" w:rsidR="00A72B1D" w:rsidRPr="00220AB0" w:rsidRDefault="00A72B1D" w:rsidP="00283B1F">
            <w:pPr>
              <w:rPr>
                <w:rFonts w:ascii="Arial Narrow" w:hAnsi="Arial Narrow" w:cs="Times New Roman"/>
              </w:rPr>
            </w:pPr>
          </w:p>
        </w:tc>
      </w:tr>
      <w:tr w:rsidR="00A72B1D" w:rsidRPr="00220AB0" w14:paraId="406AA626" w14:textId="59F3F6ED" w:rsidTr="00A72B1D">
        <w:tc>
          <w:tcPr>
            <w:tcW w:w="3304" w:type="dxa"/>
            <w:gridSpan w:val="2"/>
            <w:shd w:val="clear" w:color="auto" w:fill="C6D9F1" w:themeFill="text2" w:themeFillTint="33"/>
            <w:vAlign w:val="center"/>
          </w:tcPr>
          <w:p w14:paraId="706A145B" w14:textId="77777777" w:rsidR="00A72B1D" w:rsidRPr="00220AB0" w:rsidRDefault="00A72B1D" w:rsidP="00283B1F">
            <w:pPr>
              <w:rPr>
                <w:rFonts w:ascii="Arial Narrow" w:hAnsi="Arial Narrow" w:cs="Times New Roman"/>
                <w:b/>
              </w:rPr>
            </w:pPr>
            <w:r w:rsidRPr="00220AB0">
              <w:rPr>
                <w:rFonts w:ascii="Arial Narrow" w:hAnsi="Arial Narrow" w:cs="Times New Roman"/>
                <w:b/>
              </w:rPr>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689" w:type="dxa"/>
            <w:tcBorders>
              <w:bottom w:val="single" w:sz="6" w:space="0" w:color="auto"/>
            </w:tcBorders>
            <w:vAlign w:val="center"/>
          </w:tcPr>
          <w:p w14:paraId="309BCBE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bottom w:val="single" w:sz="6" w:space="0" w:color="auto"/>
            </w:tcBorders>
            <w:vAlign w:val="center"/>
          </w:tcPr>
          <w:p w14:paraId="63EA965D"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bottom w:val="single" w:sz="6" w:space="0" w:color="auto"/>
            </w:tcBorders>
            <w:shd w:val="clear" w:color="auto" w:fill="D9D9D9" w:themeFill="background1" w:themeFillShade="D9"/>
            <w:vAlign w:val="center"/>
          </w:tcPr>
          <w:p w14:paraId="39975D21" w14:textId="77777777" w:rsidR="00A72B1D" w:rsidRPr="00ED75CD" w:rsidRDefault="00A72B1D" w:rsidP="00283B1F">
            <w:pPr>
              <w:rPr>
                <w:rFonts w:ascii="Arial Narrow" w:hAnsi="Arial Narrow" w:cs="Times New Roman"/>
                <w:color w:val="BFBFBF" w:themeColor="background1" w:themeShade="BF"/>
              </w:rPr>
            </w:pPr>
          </w:p>
        </w:tc>
        <w:tc>
          <w:tcPr>
            <w:tcW w:w="690" w:type="dxa"/>
            <w:shd w:val="clear" w:color="auto" w:fill="FFFFFF" w:themeFill="background1"/>
            <w:vAlign w:val="center"/>
          </w:tcPr>
          <w:p w14:paraId="7EDC91AD" w14:textId="77777777" w:rsidR="00A72B1D" w:rsidRPr="00EC1640" w:rsidRDefault="00A72B1D" w:rsidP="00283B1F">
            <w:pPr>
              <w:rPr>
                <w:rFonts w:ascii="Arial Narrow" w:hAnsi="Arial Narrow" w:cs="Times New Roman"/>
              </w:rPr>
            </w:pPr>
            <w:r w:rsidRPr="00EC1640">
              <w:rPr>
                <w:rFonts w:ascii="Arial Narrow" w:hAnsi="Arial Narrow" w:cs="Times New Roman"/>
              </w:rPr>
              <w:t>x</w:t>
            </w:r>
          </w:p>
        </w:tc>
        <w:tc>
          <w:tcPr>
            <w:tcW w:w="690" w:type="dxa"/>
            <w:tcBorders>
              <w:right w:val="single" w:sz="6" w:space="0" w:color="auto"/>
            </w:tcBorders>
            <w:vAlign w:val="center"/>
          </w:tcPr>
          <w:p w14:paraId="6ECDA01E"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tcPr>
          <w:p w14:paraId="61848BEB" w14:textId="5A8ECE54" w:rsidR="00A72B1D" w:rsidRPr="00220AB0" w:rsidRDefault="00A72B1D" w:rsidP="00283B1F">
            <w:pPr>
              <w:rPr>
                <w:rFonts w:ascii="Arial Narrow" w:hAnsi="Arial Narrow" w:cs="Times New Roman"/>
              </w:rPr>
            </w:pPr>
            <w:r w:rsidRPr="00B142A7">
              <w:rPr>
                <w:rFonts w:ascii="Arial Narrow" w:hAnsi="Arial Narrow" w:cs="Times New Roman"/>
              </w:rPr>
              <w:t>x</w:t>
            </w:r>
          </w:p>
        </w:tc>
        <w:tc>
          <w:tcPr>
            <w:tcW w:w="690" w:type="dxa"/>
            <w:tcBorders>
              <w:left w:val="single" w:sz="6" w:space="0" w:color="auto"/>
            </w:tcBorders>
            <w:vAlign w:val="center"/>
          </w:tcPr>
          <w:p w14:paraId="34F89B4D"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tcBorders>
              <w:left w:val="single" w:sz="4" w:space="0" w:color="auto"/>
            </w:tcBorders>
            <w:vAlign w:val="center"/>
          </w:tcPr>
          <w:p w14:paraId="733185E4" w14:textId="5A6DB2AD" w:rsidR="00A72B1D" w:rsidRPr="005C74AA" w:rsidRDefault="00A72B1D" w:rsidP="00283B1F">
            <w:pPr>
              <w:rPr>
                <w:rFonts w:ascii="Arial Narrow" w:hAnsi="Arial Narrow" w:cs="Times New Roman"/>
              </w:rPr>
            </w:pPr>
            <w:r w:rsidRPr="005C74AA">
              <w:rPr>
                <w:rFonts w:ascii="Arial Narrow" w:hAnsi="Arial Narrow" w:cs="Times New Roman"/>
              </w:rPr>
              <w:t>x</w:t>
            </w:r>
          </w:p>
        </w:tc>
        <w:tc>
          <w:tcPr>
            <w:tcW w:w="680" w:type="dxa"/>
            <w:tcBorders>
              <w:left w:val="single" w:sz="4" w:space="0" w:color="auto"/>
            </w:tcBorders>
            <w:vAlign w:val="center"/>
          </w:tcPr>
          <w:p w14:paraId="7F54C1DA" w14:textId="3D6C855E" w:rsidR="00A72B1D" w:rsidRPr="005C74AA" w:rsidRDefault="00A72B1D" w:rsidP="00283B1F">
            <w:pPr>
              <w:rPr>
                <w:rFonts w:ascii="Arial Narrow" w:hAnsi="Arial Narrow" w:cs="Times New Roman"/>
              </w:rPr>
            </w:pPr>
            <w:r w:rsidRPr="005C74AA">
              <w:rPr>
                <w:rFonts w:ascii="Arial Narrow" w:hAnsi="Arial Narrow" w:cs="Times New Roman"/>
              </w:rPr>
              <w:t>x</w:t>
            </w:r>
          </w:p>
        </w:tc>
      </w:tr>
      <w:tr w:rsidR="00A72B1D" w:rsidRPr="00220AB0" w14:paraId="0ABC501D" w14:textId="719DCDA4" w:rsidTr="00A72B1D">
        <w:trPr>
          <w:trHeight w:val="772"/>
        </w:trPr>
        <w:tc>
          <w:tcPr>
            <w:tcW w:w="1861" w:type="dxa"/>
            <w:shd w:val="clear" w:color="auto" w:fill="C6D9F1" w:themeFill="text2" w:themeFillTint="33"/>
            <w:vAlign w:val="center"/>
          </w:tcPr>
          <w:p w14:paraId="5674DD17" w14:textId="77777777" w:rsidR="00A72B1D" w:rsidRPr="00220AB0" w:rsidRDefault="00A72B1D"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443" w:type="dxa"/>
            <w:shd w:val="clear" w:color="auto" w:fill="C6D9F1" w:themeFill="text2" w:themeFillTint="33"/>
            <w:vAlign w:val="center"/>
          </w:tcPr>
          <w:p w14:paraId="5C529AAA" w14:textId="77777777" w:rsidR="00A72B1D" w:rsidRPr="00220AB0" w:rsidRDefault="00A72B1D" w:rsidP="00283B1F">
            <w:pPr>
              <w:rPr>
                <w:rFonts w:ascii="Arial Narrow" w:hAnsi="Arial Narrow" w:cs="Times New Roman"/>
              </w:rPr>
            </w:pPr>
            <w:r w:rsidRPr="00220AB0">
              <w:rPr>
                <w:rFonts w:ascii="Arial Narrow" w:hAnsi="Arial Narrow" w:cs="Times New Roman"/>
              </w:rPr>
              <w:t>ogłoszenia o naborze wniosków</w:t>
            </w:r>
          </w:p>
        </w:tc>
        <w:tc>
          <w:tcPr>
            <w:tcW w:w="689" w:type="dxa"/>
            <w:tcBorders>
              <w:top w:val="single" w:sz="6" w:space="0" w:color="auto"/>
              <w:bottom w:val="single" w:sz="6" w:space="0" w:color="auto"/>
            </w:tcBorders>
            <w:vAlign w:val="center"/>
          </w:tcPr>
          <w:p w14:paraId="6804476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single" w:sz="6" w:space="0" w:color="auto"/>
              <w:bottom w:val="single" w:sz="6" w:space="0" w:color="auto"/>
            </w:tcBorders>
            <w:shd w:val="clear" w:color="auto" w:fill="auto"/>
            <w:vAlign w:val="center"/>
          </w:tcPr>
          <w:p w14:paraId="0733CD2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bottom w:val="single" w:sz="6" w:space="0" w:color="auto"/>
            </w:tcBorders>
            <w:shd w:val="clear" w:color="auto" w:fill="auto"/>
            <w:vAlign w:val="center"/>
          </w:tcPr>
          <w:p w14:paraId="69521460" w14:textId="77777777" w:rsidR="00A72B1D" w:rsidRPr="00220AB0" w:rsidRDefault="00A72B1D" w:rsidP="00283B1F">
            <w:pPr>
              <w:rPr>
                <w:rFonts w:ascii="Arial Narrow" w:hAnsi="Arial Narrow" w:cs="Times New Roman"/>
              </w:rPr>
            </w:pPr>
            <w:r>
              <w:rPr>
                <w:rFonts w:ascii="Arial Narrow" w:hAnsi="Arial Narrow" w:cs="Times New Roman"/>
              </w:rPr>
              <w:t>x</w:t>
            </w:r>
          </w:p>
        </w:tc>
        <w:tc>
          <w:tcPr>
            <w:tcW w:w="690" w:type="dxa"/>
            <w:shd w:val="clear" w:color="auto" w:fill="D9D9D9" w:themeFill="background1" w:themeFillShade="D9"/>
            <w:vAlign w:val="center"/>
          </w:tcPr>
          <w:p w14:paraId="0CE4A475"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A85E077" w14:textId="77777777" w:rsidR="00A72B1D" w:rsidRPr="00220AB0" w:rsidRDefault="00A72B1D" w:rsidP="00283B1F">
            <w:pPr>
              <w:rPr>
                <w:rFonts w:ascii="Arial Narrow" w:hAnsi="Arial Narrow" w:cs="Times New Roman"/>
              </w:rPr>
            </w:pPr>
          </w:p>
        </w:tc>
        <w:tc>
          <w:tcPr>
            <w:tcW w:w="690" w:type="dxa"/>
            <w:tcBorders>
              <w:top w:val="single" w:sz="6" w:space="0" w:color="auto"/>
            </w:tcBorders>
            <w:shd w:val="clear" w:color="auto" w:fill="D9D9D9" w:themeFill="background1" w:themeFillShade="D9"/>
            <w:vAlign w:val="center"/>
          </w:tcPr>
          <w:p w14:paraId="3D01056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B3927E4"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8BBE409"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4DE6F9C0" w14:textId="77777777" w:rsidR="00A72B1D" w:rsidRPr="00220AB0" w:rsidRDefault="00A72B1D" w:rsidP="00283B1F">
            <w:pPr>
              <w:rPr>
                <w:rFonts w:ascii="Arial Narrow" w:hAnsi="Arial Narrow" w:cs="Times New Roman"/>
              </w:rPr>
            </w:pPr>
          </w:p>
        </w:tc>
      </w:tr>
      <w:tr w:rsidR="00A72B1D" w:rsidRPr="00220AB0" w14:paraId="645F944A" w14:textId="31080741" w:rsidTr="00A72B1D">
        <w:tc>
          <w:tcPr>
            <w:tcW w:w="1861" w:type="dxa"/>
            <w:vMerge w:val="restart"/>
            <w:shd w:val="clear" w:color="auto" w:fill="C6D9F1" w:themeFill="text2" w:themeFillTint="33"/>
            <w:vAlign w:val="center"/>
          </w:tcPr>
          <w:p w14:paraId="755A2CCB" w14:textId="77777777" w:rsidR="00A72B1D" w:rsidRPr="00220AB0" w:rsidRDefault="00A72B1D" w:rsidP="00283B1F">
            <w:pPr>
              <w:rPr>
                <w:rFonts w:ascii="Arial Narrow" w:hAnsi="Arial Narrow" w:cs="Times New Roman"/>
                <w:b/>
              </w:rPr>
            </w:pPr>
            <w:r w:rsidRPr="00220AB0">
              <w:rPr>
                <w:rFonts w:ascii="Arial Narrow" w:hAnsi="Arial Narrow" w:cs="Times New Roman"/>
                <w:b/>
              </w:rPr>
              <w:t>Bezpośrednie konsultacje</w:t>
            </w:r>
          </w:p>
        </w:tc>
        <w:tc>
          <w:tcPr>
            <w:tcW w:w="1443" w:type="dxa"/>
            <w:tcBorders>
              <w:top w:val="single" w:sz="6" w:space="0" w:color="auto"/>
            </w:tcBorders>
            <w:shd w:val="clear" w:color="auto" w:fill="C6D9F1" w:themeFill="text2" w:themeFillTint="33"/>
            <w:vAlign w:val="center"/>
          </w:tcPr>
          <w:p w14:paraId="1F7553CC" w14:textId="77777777" w:rsidR="00A72B1D" w:rsidRPr="00220AB0" w:rsidRDefault="00A72B1D" w:rsidP="00283B1F">
            <w:pPr>
              <w:rPr>
                <w:rFonts w:ascii="Arial Narrow" w:hAnsi="Arial Narrow" w:cs="Times New Roman"/>
              </w:rPr>
            </w:pPr>
            <w:r w:rsidRPr="00220AB0">
              <w:rPr>
                <w:rFonts w:ascii="Arial Narrow" w:hAnsi="Arial Narrow" w:cs="Times New Roman"/>
              </w:rPr>
              <w:t>z potencjalnymi beneficjentami</w:t>
            </w:r>
          </w:p>
        </w:tc>
        <w:tc>
          <w:tcPr>
            <w:tcW w:w="689" w:type="dxa"/>
            <w:tcBorders>
              <w:top w:val="single" w:sz="6" w:space="0" w:color="auto"/>
            </w:tcBorders>
            <w:vAlign w:val="center"/>
          </w:tcPr>
          <w:p w14:paraId="731C69E3"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single" w:sz="6" w:space="0" w:color="auto"/>
            </w:tcBorders>
            <w:vAlign w:val="center"/>
          </w:tcPr>
          <w:p w14:paraId="24170CD2"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tcBorders>
            <w:vAlign w:val="center"/>
          </w:tcPr>
          <w:p w14:paraId="2353A8B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5B7D02F8"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5E7D9A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A95DBA6"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2182C13"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672A4B6C"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1C0B0D8D" w14:textId="77777777" w:rsidR="00A72B1D" w:rsidRPr="00220AB0" w:rsidRDefault="00A72B1D" w:rsidP="00283B1F">
            <w:pPr>
              <w:rPr>
                <w:rFonts w:ascii="Arial Narrow" w:hAnsi="Arial Narrow" w:cs="Times New Roman"/>
              </w:rPr>
            </w:pPr>
          </w:p>
        </w:tc>
      </w:tr>
      <w:tr w:rsidR="00A72B1D" w:rsidRPr="00220AB0" w14:paraId="772FF2C7" w14:textId="6F1391E4" w:rsidTr="00A72B1D">
        <w:tc>
          <w:tcPr>
            <w:tcW w:w="1861" w:type="dxa"/>
            <w:vMerge/>
            <w:shd w:val="clear" w:color="auto" w:fill="C6D9F1" w:themeFill="text2" w:themeFillTint="33"/>
            <w:vAlign w:val="center"/>
          </w:tcPr>
          <w:p w14:paraId="41C8CE59" w14:textId="77777777" w:rsidR="00A72B1D" w:rsidRPr="00220AB0" w:rsidRDefault="00A72B1D" w:rsidP="00283B1F">
            <w:pPr>
              <w:rPr>
                <w:rFonts w:ascii="Arial Narrow" w:hAnsi="Arial Narrow" w:cs="Times New Roman"/>
              </w:rPr>
            </w:pPr>
          </w:p>
        </w:tc>
        <w:tc>
          <w:tcPr>
            <w:tcW w:w="1443" w:type="dxa"/>
            <w:shd w:val="clear" w:color="auto" w:fill="C6D9F1" w:themeFill="text2" w:themeFillTint="33"/>
            <w:vAlign w:val="center"/>
          </w:tcPr>
          <w:p w14:paraId="4FA102A6" w14:textId="77777777" w:rsidR="00A72B1D" w:rsidRPr="00220AB0" w:rsidRDefault="00A72B1D" w:rsidP="00283B1F">
            <w:pPr>
              <w:rPr>
                <w:rFonts w:ascii="Arial Narrow" w:hAnsi="Arial Narrow" w:cs="Times New Roman"/>
              </w:rPr>
            </w:pPr>
            <w:r w:rsidRPr="00220AB0">
              <w:rPr>
                <w:rFonts w:ascii="Arial Narrow" w:hAnsi="Arial Narrow" w:cs="Times New Roman"/>
              </w:rPr>
              <w:t>z beneficjentami</w:t>
            </w:r>
          </w:p>
        </w:tc>
        <w:tc>
          <w:tcPr>
            <w:tcW w:w="689" w:type="dxa"/>
            <w:shd w:val="clear" w:color="auto" w:fill="D9D9D9" w:themeFill="background1" w:themeFillShade="D9"/>
            <w:vAlign w:val="center"/>
          </w:tcPr>
          <w:p w14:paraId="6EEF7DBB" w14:textId="77777777" w:rsidR="00A72B1D" w:rsidRPr="00C968CA" w:rsidRDefault="00A72B1D" w:rsidP="00283B1F">
            <w:pPr>
              <w:rPr>
                <w:rFonts w:ascii="Arial Narrow" w:hAnsi="Arial Narrow" w:cs="Times New Roman"/>
                <w:strike/>
                <w:color w:val="FF0000"/>
              </w:rPr>
            </w:pPr>
          </w:p>
        </w:tc>
        <w:tc>
          <w:tcPr>
            <w:tcW w:w="689" w:type="dxa"/>
            <w:vAlign w:val="center"/>
          </w:tcPr>
          <w:p w14:paraId="74B7708F"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3C66011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30444218"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5A866CA"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87C2594"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7DBA8291"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76B60255"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5CD0D675" w14:textId="77777777" w:rsidR="00A72B1D" w:rsidRPr="00220AB0" w:rsidRDefault="00A72B1D" w:rsidP="00283B1F">
            <w:pPr>
              <w:rPr>
                <w:rFonts w:ascii="Arial Narrow" w:hAnsi="Arial Narrow" w:cs="Times New Roman"/>
              </w:rPr>
            </w:pPr>
          </w:p>
        </w:tc>
      </w:tr>
      <w:tr w:rsidR="00A72B1D" w:rsidRPr="00220AB0" w14:paraId="18BBB407" w14:textId="52C01F71" w:rsidTr="005C74AA">
        <w:tc>
          <w:tcPr>
            <w:tcW w:w="3304" w:type="dxa"/>
            <w:gridSpan w:val="2"/>
            <w:shd w:val="clear" w:color="auto" w:fill="C6D9F1" w:themeFill="text2" w:themeFillTint="33"/>
            <w:vAlign w:val="center"/>
          </w:tcPr>
          <w:p w14:paraId="0581B11C" w14:textId="77777777" w:rsidR="00A72B1D" w:rsidRPr="00220AB0" w:rsidRDefault="00A72B1D" w:rsidP="00283B1F">
            <w:pPr>
              <w:rPr>
                <w:rFonts w:ascii="Arial Narrow" w:hAnsi="Arial Narrow" w:cs="Times New Roman"/>
                <w:b/>
              </w:rPr>
            </w:pPr>
            <w:r w:rsidRPr="00220AB0">
              <w:rPr>
                <w:rFonts w:ascii="Arial Narrow" w:hAnsi="Arial Narrow" w:cs="Times New Roman"/>
                <w:b/>
              </w:rPr>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689" w:type="dxa"/>
            <w:vAlign w:val="center"/>
          </w:tcPr>
          <w:p w14:paraId="5B74398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14D0501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169CED2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1D42BB80"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241FD82C" w14:textId="77777777" w:rsidR="00A72B1D" w:rsidRPr="00220AB0" w:rsidRDefault="00A72B1D" w:rsidP="00283B1F">
            <w:pPr>
              <w:rPr>
                <w:rFonts w:ascii="Arial Narrow" w:hAnsi="Arial Narrow" w:cs="Times New Roman"/>
              </w:rPr>
            </w:pPr>
          </w:p>
        </w:tc>
        <w:tc>
          <w:tcPr>
            <w:tcW w:w="690" w:type="dxa"/>
            <w:tcBorders>
              <w:bottom w:val="single" w:sz="6" w:space="0" w:color="auto"/>
            </w:tcBorders>
            <w:shd w:val="clear" w:color="auto" w:fill="D9D9D9" w:themeFill="background1" w:themeFillShade="D9"/>
            <w:vAlign w:val="center"/>
          </w:tcPr>
          <w:p w14:paraId="74B4CC13"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5705E8AA"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576357C0"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2F832332" w14:textId="77777777" w:rsidR="00A72B1D" w:rsidRPr="00220AB0" w:rsidRDefault="00A72B1D" w:rsidP="00283B1F">
            <w:pPr>
              <w:rPr>
                <w:rFonts w:ascii="Arial Narrow" w:hAnsi="Arial Narrow" w:cs="Times New Roman"/>
              </w:rPr>
            </w:pPr>
          </w:p>
        </w:tc>
      </w:tr>
      <w:tr w:rsidR="00A72B1D" w:rsidRPr="00220AB0" w14:paraId="32EE77C6" w14:textId="54E9F347" w:rsidTr="005C74AA">
        <w:tc>
          <w:tcPr>
            <w:tcW w:w="3304" w:type="dxa"/>
            <w:gridSpan w:val="2"/>
            <w:shd w:val="clear" w:color="auto" w:fill="C6D9F1" w:themeFill="text2" w:themeFillTint="33"/>
            <w:vAlign w:val="center"/>
          </w:tcPr>
          <w:p w14:paraId="73F62417" w14:textId="77777777" w:rsidR="00A72B1D" w:rsidRPr="00220AB0" w:rsidRDefault="00A72B1D" w:rsidP="00283B1F">
            <w:pPr>
              <w:rPr>
                <w:rFonts w:ascii="Arial Narrow" w:hAnsi="Arial Narrow" w:cs="Times New Roman"/>
                <w:b/>
              </w:rPr>
            </w:pPr>
            <w:r w:rsidRPr="00220AB0">
              <w:rPr>
                <w:rFonts w:ascii="Arial Narrow" w:hAnsi="Arial Narrow" w:cs="Times New Roman"/>
                <w:b/>
              </w:rPr>
              <w:t>Kampania informacyjna</w:t>
            </w:r>
          </w:p>
        </w:tc>
        <w:tc>
          <w:tcPr>
            <w:tcW w:w="689" w:type="dxa"/>
            <w:vAlign w:val="center"/>
          </w:tcPr>
          <w:p w14:paraId="44D3855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01AFEFC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558E07C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44CCFB0B"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6C7A3C0" w14:textId="77777777" w:rsidR="00A72B1D" w:rsidRPr="00220AB0" w:rsidRDefault="00A72B1D" w:rsidP="00283B1F">
            <w:pPr>
              <w:rPr>
                <w:rFonts w:ascii="Arial Narrow" w:hAnsi="Arial Narrow" w:cs="Times New Roman"/>
              </w:rPr>
            </w:pPr>
          </w:p>
        </w:tc>
        <w:tc>
          <w:tcPr>
            <w:tcW w:w="690" w:type="dxa"/>
            <w:tcBorders>
              <w:top w:val="single" w:sz="6" w:space="0" w:color="auto"/>
              <w:bottom w:val="double" w:sz="4" w:space="0" w:color="auto"/>
            </w:tcBorders>
            <w:shd w:val="clear" w:color="auto" w:fill="auto"/>
            <w:vAlign w:val="center"/>
          </w:tcPr>
          <w:p w14:paraId="33E1AC8E" w14:textId="6833E873" w:rsidR="00A72B1D" w:rsidRPr="00220AB0" w:rsidRDefault="005C74AA" w:rsidP="00283B1F">
            <w:pPr>
              <w:rPr>
                <w:rFonts w:ascii="Arial Narrow" w:hAnsi="Arial Narrow" w:cs="Times New Roman"/>
              </w:rPr>
            </w:pPr>
            <w:r>
              <w:rPr>
                <w:rFonts w:ascii="Arial Narrow" w:hAnsi="Arial Narrow" w:cs="Times New Roman"/>
              </w:rPr>
              <w:t>x</w:t>
            </w:r>
          </w:p>
        </w:tc>
        <w:tc>
          <w:tcPr>
            <w:tcW w:w="690" w:type="dxa"/>
            <w:vAlign w:val="center"/>
          </w:tcPr>
          <w:p w14:paraId="73A5991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vAlign w:val="center"/>
          </w:tcPr>
          <w:p w14:paraId="086EF27B" w14:textId="3B2D406F" w:rsidR="00A72B1D" w:rsidRPr="005C74AA" w:rsidRDefault="00096945" w:rsidP="00283B1F">
            <w:pPr>
              <w:rPr>
                <w:rFonts w:ascii="Arial Narrow" w:hAnsi="Arial Narrow" w:cs="Times New Roman"/>
              </w:rPr>
            </w:pPr>
            <w:r w:rsidRPr="005C74AA">
              <w:rPr>
                <w:rFonts w:ascii="Arial Narrow" w:hAnsi="Arial Narrow" w:cs="Times New Roman"/>
              </w:rPr>
              <w:t>x</w:t>
            </w:r>
          </w:p>
        </w:tc>
        <w:tc>
          <w:tcPr>
            <w:tcW w:w="680" w:type="dxa"/>
            <w:vAlign w:val="center"/>
          </w:tcPr>
          <w:p w14:paraId="2E26DAE3" w14:textId="520DA409" w:rsidR="00A72B1D" w:rsidRPr="005C74AA" w:rsidRDefault="00096945" w:rsidP="00283B1F">
            <w:pPr>
              <w:rPr>
                <w:rFonts w:ascii="Arial Narrow" w:hAnsi="Arial Narrow" w:cs="Times New Roman"/>
              </w:rPr>
            </w:pPr>
            <w:r w:rsidRPr="005C74AA">
              <w:rPr>
                <w:rFonts w:ascii="Arial Narrow" w:hAnsi="Arial Narrow" w:cs="Times New Roman"/>
              </w:rPr>
              <w:t>x</w:t>
            </w:r>
          </w:p>
        </w:tc>
      </w:tr>
    </w:tbl>
    <w:p w14:paraId="0175A2CD" w14:textId="77777777" w:rsidR="003869AB" w:rsidRPr="00220AB0" w:rsidRDefault="003869AB" w:rsidP="003869AB">
      <w:pPr>
        <w:spacing w:line="240" w:lineRule="auto"/>
        <w:rPr>
          <w:rFonts w:ascii="Arial Narrow" w:hAnsi="Arial Narrow"/>
        </w:rPr>
      </w:pPr>
    </w:p>
    <w:p w14:paraId="18F34AF9"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14:paraId="488FE449" w14:textId="77777777" w:rsidR="003869AB" w:rsidRPr="00220AB0" w:rsidRDefault="003869AB" w:rsidP="003869AB">
      <w:pPr>
        <w:spacing w:line="240" w:lineRule="auto"/>
        <w:rPr>
          <w:rFonts w:ascii="Arial Narrow" w:hAnsi="Arial Narrow"/>
        </w:rPr>
      </w:pPr>
    </w:p>
    <w:p w14:paraId="5335A1D8" w14:textId="77777777" w:rsidR="003869AB" w:rsidRPr="00220AB0" w:rsidRDefault="003869AB" w:rsidP="003869AB">
      <w:pPr>
        <w:spacing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14:paraId="4B8EAB0B" w14:textId="77777777" w:rsidR="003869AB" w:rsidRPr="00220AB0" w:rsidRDefault="003869AB" w:rsidP="003869AB">
      <w:pPr>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3</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665"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8"/>
        <w:gridCol w:w="1172"/>
        <w:gridCol w:w="1045"/>
        <w:gridCol w:w="1027"/>
        <w:gridCol w:w="1043"/>
        <w:gridCol w:w="1027"/>
        <w:gridCol w:w="1026"/>
        <w:gridCol w:w="1043"/>
        <w:gridCol w:w="1043"/>
        <w:gridCol w:w="1051"/>
      </w:tblGrid>
      <w:tr w:rsidR="00ED67B9" w:rsidRPr="00220AB0" w14:paraId="75B30378"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bookmarkEnd w:id="13"/>
          <w:p w14:paraId="3B449B17"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1045" w:type="dxa"/>
            <w:tcBorders>
              <w:top w:val="double" w:sz="4" w:space="0" w:color="auto"/>
              <w:bottom w:val="double" w:sz="4" w:space="0" w:color="auto"/>
            </w:tcBorders>
            <w:shd w:val="clear" w:color="auto" w:fill="C6D9F1" w:themeFill="text2" w:themeFillTint="33"/>
          </w:tcPr>
          <w:p w14:paraId="51FE8FE1" w14:textId="77777777" w:rsidR="003869AB" w:rsidRPr="00220AB0" w:rsidRDefault="003869AB" w:rsidP="00283B1F">
            <w:pPr>
              <w:rPr>
                <w:rFonts w:ascii="Arial Narrow" w:hAnsi="Arial Narrow" w:cs="Times New Roman"/>
                <w:b/>
              </w:rPr>
            </w:pPr>
            <w:r w:rsidRPr="00220AB0">
              <w:rPr>
                <w:rFonts w:ascii="Arial Narrow" w:hAnsi="Arial Narrow" w:cs="Times New Roman"/>
                <w:b/>
              </w:rPr>
              <w:t>2016</w:t>
            </w:r>
          </w:p>
        </w:tc>
        <w:tc>
          <w:tcPr>
            <w:tcW w:w="1027" w:type="dxa"/>
            <w:tcBorders>
              <w:top w:val="double" w:sz="4" w:space="0" w:color="auto"/>
              <w:bottom w:val="double" w:sz="4" w:space="0" w:color="auto"/>
            </w:tcBorders>
            <w:shd w:val="clear" w:color="auto" w:fill="C6D9F1" w:themeFill="text2" w:themeFillTint="33"/>
          </w:tcPr>
          <w:p w14:paraId="2DE2925E" w14:textId="77777777" w:rsidR="003869AB" w:rsidRPr="00220AB0" w:rsidRDefault="003869AB" w:rsidP="00283B1F">
            <w:pPr>
              <w:rPr>
                <w:rFonts w:ascii="Arial Narrow" w:hAnsi="Arial Narrow" w:cs="Times New Roman"/>
                <w:b/>
              </w:rPr>
            </w:pPr>
            <w:r w:rsidRPr="00220AB0">
              <w:rPr>
                <w:rFonts w:ascii="Arial Narrow" w:hAnsi="Arial Narrow" w:cs="Times New Roman"/>
                <w:b/>
              </w:rPr>
              <w:t>2017</w:t>
            </w:r>
          </w:p>
        </w:tc>
        <w:tc>
          <w:tcPr>
            <w:tcW w:w="1043" w:type="dxa"/>
            <w:tcBorders>
              <w:top w:val="double" w:sz="4" w:space="0" w:color="auto"/>
              <w:bottom w:val="double" w:sz="4" w:space="0" w:color="auto"/>
            </w:tcBorders>
            <w:shd w:val="clear" w:color="auto" w:fill="C6D9F1" w:themeFill="text2" w:themeFillTint="33"/>
          </w:tcPr>
          <w:p w14:paraId="6815DBA4" w14:textId="77777777" w:rsidR="003869AB" w:rsidRPr="00220AB0" w:rsidRDefault="003869AB" w:rsidP="00283B1F">
            <w:pPr>
              <w:rPr>
                <w:rFonts w:ascii="Arial Narrow" w:hAnsi="Arial Narrow" w:cs="Times New Roman"/>
                <w:b/>
              </w:rPr>
            </w:pPr>
            <w:r w:rsidRPr="00220AB0">
              <w:rPr>
                <w:rFonts w:ascii="Arial Narrow" w:hAnsi="Arial Narrow" w:cs="Times New Roman"/>
                <w:b/>
              </w:rPr>
              <w:t>2018</w:t>
            </w:r>
          </w:p>
        </w:tc>
        <w:tc>
          <w:tcPr>
            <w:tcW w:w="1027" w:type="dxa"/>
            <w:tcBorders>
              <w:top w:val="double" w:sz="4" w:space="0" w:color="auto"/>
              <w:bottom w:val="double" w:sz="4" w:space="0" w:color="auto"/>
            </w:tcBorders>
            <w:shd w:val="clear" w:color="auto" w:fill="C6D9F1" w:themeFill="text2" w:themeFillTint="33"/>
          </w:tcPr>
          <w:p w14:paraId="299804F6" w14:textId="77777777" w:rsidR="003869AB" w:rsidRPr="00220AB0" w:rsidRDefault="003869AB" w:rsidP="00283B1F">
            <w:pPr>
              <w:rPr>
                <w:rFonts w:ascii="Arial Narrow" w:hAnsi="Arial Narrow" w:cs="Times New Roman"/>
                <w:b/>
              </w:rPr>
            </w:pPr>
            <w:r w:rsidRPr="00220AB0">
              <w:rPr>
                <w:rFonts w:ascii="Arial Narrow" w:hAnsi="Arial Narrow" w:cs="Times New Roman"/>
                <w:b/>
              </w:rPr>
              <w:t>2019</w:t>
            </w:r>
          </w:p>
        </w:tc>
        <w:tc>
          <w:tcPr>
            <w:tcW w:w="1026" w:type="dxa"/>
            <w:tcBorders>
              <w:top w:val="double" w:sz="4" w:space="0" w:color="auto"/>
              <w:bottom w:val="double" w:sz="4" w:space="0" w:color="auto"/>
            </w:tcBorders>
            <w:shd w:val="clear" w:color="auto" w:fill="C6D9F1" w:themeFill="text2" w:themeFillTint="33"/>
          </w:tcPr>
          <w:p w14:paraId="480317CD" w14:textId="77777777" w:rsidR="003869AB" w:rsidRPr="00220AB0" w:rsidRDefault="003869AB" w:rsidP="00283B1F">
            <w:pPr>
              <w:rPr>
                <w:rFonts w:ascii="Arial Narrow" w:hAnsi="Arial Narrow" w:cs="Times New Roman"/>
                <w:b/>
              </w:rPr>
            </w:pPr>
            <w:r w:rsidRPr="00220AB0">
              <w:rPr>
                <w:rFonts w:ascii="Arial Narrow" w:hAnsi="Arial Narrow" w:cs="Times New Roman"/>
                <w:b/>
              </w:rPr>
              <w:t>2020</w:t>
            </w:r>
          </w:p>
        </w:tc>
        <w:tc>
          <w:tcPr>
            <w:tcW w:w="1043" w:type="dxa"/>
            <w:tcBorders>
              <w:top w:val="double" w:sz="4" w:space="0" w:color="auto"/>
              <w:bottom w:val="double" w:sz="4" w:space="0" w:color="auto"/>
            </w:tcBorders>
            <w:shd w:val="clear" w:color="auto" w:fill="C6D9F1" w:themeFill="text2" w:themeFillTint="33"/>
          </w:tcPr>
          <w:p w14:paraId="39B4E36C" w14:textId="77777777" w:rsidR="003869AB" w:rsidRPr="00220AB0" w:rsidRDefault="003869AB" w:rsidP="00283B1F">
            <w:pPr>
              <w:rPr>
                <w:rFonts w:ascii="Arial Narrow" w:hAnsi="Arial Narrow" w:cs="Times New Roman"/>
                <w:b/>
              </w:rPr>
            </w:pPr>
            <w:r w:rsidRPr="00220AB0">
              <w:rPr>
                <w:rFonts w:ascii="Arial Narrow" w:hAnsi="Arial Narrow" w:cs="Times New Roman"/>
                <w:b/>
              </w:rPr>
              <w:t>2021</w:t>
            </w:r>
          </w:p>
        </w:tc>
        <w:tc>
          <w:tcPr>
            <w:tcW w:w="1043" w:type="dxa"/>
            <w:tcBorders>
              <w:top w:val="double" w:sz="4" w:space="0" w:color="auto"/>
              <w:bottom w:val="double" w:sz="4" w:space="0" w:color="auto"/>
            </w:tcBorders>
            <w:shd w:val="clear" w:color="auto" w:fill="C6D9F1" w:themeFill="text2" w:themeFillTint="33"/>
          </w:tcPr>
          <w:p w14:paraId="6B8578CE" w14:textId="5F8BA10F" w:rsidR="003869AB" w:rsidRPr="00220AB0" w:rsidRDefault="003869AB" w:rsidP="00283B1F">
            <w:pPr>
              <w:rPr>
                <w:rFonts w:ascii="Arial Narrow" w:hAnsi="Arial Narrow" w:cs="Times New Roman"/>
                <w:b/>
              </w:rPr>
            </w:pPr>
            <w:r w:rsidRPr="00220AB0">
              <w:rPr>
                <w:rFonts w:ascii="Arial Narrow" w:hAnsi="Arial Narrow" w:cs="Times New Roman"/>
                <w:b/>
              </w:rPr>
              <w:t>2022</w:t>
            </w:r>
            <w:r w:rsidR="000A4398">
              <w:rPr>
                <w:rFonts w:ascii="Arial Narrow" w:hAnsi="Arial Narrow" w:cs="Times New Roman"/>
                <w:b/>
              </w:rPr>
              <w:t>-24</w:t>
            </w:r>
          </w:p>
        </w:tc>
        <w:tc>
          <w:tcPr>
            <w:tcW w:w="1051" w:type="dxa"/>
            <w:tcBorders>
              <w:top w:val="double" w:sz="4" w:space="0" w:color="auto"/>
              <w:bottom w:val="double" w:sz="4" w:space="0" w:color="auto"/>
            </w:tcBorders>
            <w:shd w:val="clear" w:color="auto" w:fill="C6D9F1" w:themeFill="text2" w:themeFillTint="33"/>
          </w:tcPr>
          <w:p w14:paraId="7A78571E"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r>
      <w:tr w:rsidR="00ED67B9" w:rsidRPr="00220AB0" w14:paraId="03050CD9" w14:textId="77777777" w:rsidTr="00ED67B9">
        <w:tc>
          <w:tcPr>
            <w:tcW w:w="2360" w:type="dxa"/>
            <w:gridSpan w:val="2"/>
            <w:tcBorders>
              <w:top w:val="double" w:sz="4" w:space="0" w:color="auto"/>
            </w:tcBorders>
            <w:shd w:val="clear" w:color="auto" w:fill="C6D9F1" w:themeFill="text2" w:themeFillTint="33"/>
            <w:vAlign w:val="center"/>
          </w:tcPr>
          <w:p w14:paraId="6F99103F" w14:textId="77777777" w:rsidR="003869AB" w:rsidRPr="00220AB0" w:rsidRDefault="003869AB"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1045" w:type="dxa"/>
            <w:tcBorders>
              <w:top w:val="double" w:sz="4" w:space="0" w:color="auto"/>
            </w:tcBorders>
            <w:shd w:val="clear" w:color="auto" w:fill="BFBFBF" w:themeFill="background1" w:themeFillShade="BF"/>
            <w:vAlign w:val="center"/>
          </w:tcPr>
          <w:p w14:paraId="5E113240"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54C1BAB5"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27249C74"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4292DACB" w14:textId="77777777" w:rsidR="003869AB" w:rsidRPr="00220AB0" w:rsidRDefault="003869AB" w:rsidP="00283B1F">
            <w:pPr>
              <w:rPr>
                <w:rFonts w:ascii="Arial Narrow" w:hAnsi="Arial Narrow" w:cs="Times New Roman"/>
              </w:rPr>
            </w:pPr>
          </w:p>
        </w:tc>
        <w:tc>
          <w:tcPr>
            <w:tcW w:w="1026" w:type="dxa"/>
            <w:tcBorders>
              <w:top w:val="double" w:sz="4" w:space="0" w:color="auto"/>
            </w:tcBorders>
            <w:shd w:val="clear" w:color="auto" w:fill="BFBFBF" w:themeFill="background1" w:themeFillShade="BF"/>
            <w:vAlign w:val="center"/>
          </w:tcPr>
          <w:p w14:paraId="16E0709F"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3B4D3331"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1BB1B7D1" w14:textId="77777777" w:rsidR="003869AB" w:rsidRPr="00220AB0" w:rsidRDefault="003869AB" w:rsidP="00283B1F">
            <w:pPr>
              <w:rPr>
                <w:rFonts w:ascii="Arial Narrow" w:hAnsi="Arial Narrow" w:cs="Times New Roman"/>
              </w:rPr>
            </w:pPr>
          </w:p>
        </w:tc>
        <w:tc>
          <w:tcPr>
            <w:tcW w:w="1051" w:type="dxa"/>
            <w:tcBorders>
              <w:top w:val="double" w:sz="4" w:space="0" w:color="auto"/>
            </w:tcBorders>
            <w:shd w:val="clear" w:color="auto" w:fill="BFBFBF" w:themeFill="background1" w:themeFillShade="BF"/>
          </w:tcPr>
          <w:p w14:paraId="0BE59EAD" w14:textId="77777777" w:rsidR="003869AB" w:rsidRPr="00220AB0" w:rsidRDefault="003869AB" w:rsidP="00283B1F">
            <w:pPr>
              <w:rPr>
                <w:rFonts w:ascii="Arial Narrow" w:hAnsi="Arial Narrow" w:cs="Times New Roman"/>
              </w:rPr>
            </w:pPr>
          </w:p>
        </w:tc>
      </w:tr>
      <w:tr w:rsidR="003869AB" w:rsidRPr="00220AB0" w14:paraId="4DAA81B4" w14:textId="77777777" w:rsidTr="00ED67B9">
        <w:trPr>
          <w:trHeight w:val="535"/>
        </w:trPr>
        <w:tc>
          <w:tcPr>
            <w:tcW w:w="1188" w:type="dxa"/>
            <w:shd w:val="clear" w:color="auto" w:fill="C6D9F1" w:themeFill="text2" w:themeFillTint="33"/>
            <w:vAlign w:val="center"/>
          </w:tcPr>
          <w:p w14:paraId="73CA8492"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tc>
        <w:tc>
          <w:tcPr>
            <w:tcW w:w="1172" w:type="dxa"/>
            <w:shd w:val="clear" w:color="auto" w:fill="C6D9F1" w:themeFill="text2" w:themeFillTint="33"/>
            <w:vAlign w:val="center"/>
          </w:tcPr>
          <w:p w14:paraId="3B4CC788"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1045" w:type="dxa"/>
            <w:vAlign w:val="center"/>
          </w:tcPr>
          <w:p w14:paraId="0B8F8BF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1CF866B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9E709" w14:textId="096A7BF9" w:rsidR="006D5584" w:rsidRPr="00D0584A" w:rsidRDefault="00464A93" w:rsidP="00DC180F">
            <w:pPr>
              <w:rPr>
                <w:rFonts w:ascii="Arial Narrow" w:hAnsi="Arial Narrow" w:cs="Times New Roman"/>
                <w:bCs/>
                <w:sz w:val="20"/>
              </w:rPr>
            </w:pPr>
            <w:r>
              <w:rPr>
                <w:rFonts w:ascii="Arial Narrow" w:hAnsi="Arial Narrow" w:cs="Times New Roman"/>
                <w:bCs/>
                <w:sz w:val="20"/>
              </w:rPr>
              <w:t>150,00</w:t>
            </w:r>
          </w:p>
        </w:tc>
        <w:tc>
          <w:tcPr>
            <w:tcW w:w="1027" w:type="dxa"/>
            <w:vAlign w:val="center"/>
          </w:tcPr>
          <w:p w14:paraId="4570E23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16A4312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3FF69A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68862C5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7E6040FF" w14:textId="0D1111C5" w:rsidR="006D5584" w:rsidRPr="005D49F6" w:rsidRDefault="00464A93" w:rsidP="00283B1F">
            <w:pPr>
              <w:rPr>
                <w:rFonts w:ascii="Arial Narrow" w:hAnsi="Arial Narrow" w:cs="Times New Roman"/>
                <w:b/>
                <w:sz w:val="20"/>
              </w:rPr>
            </w:pPr>
            <w:r>
              <w:rPr>
                <w:rFonts w:ascii="Arial Narrow" w:hAnsi="Arial Narrow" w:cs="Times New Roman"/>
                <w:b/>
                <w:sz w:val="20"/>
              </w:rPr>
              <w:t>150,00</w:t>
            </w:r>
          </w:p>
        </w:tc>
      </w:tr>
      <w:tr w:rsidR="003869AB" w:rsidRPr="00220AB0" w14:paraId="2CDAF4DD" w14:textId="77777777" w:rsidTr="00ED67B9">
        <w:tc>
          <w:tcPr>
            <w:tcW w:w="2360" w:type="dxa"/>
            <w:gridSpan w:val="2"/>
            <w:shd w:val="clear" w:color="auto" w:fill="C6D9F1" w:themeFill="text2" w:themeFillTint="33"/>
            <w:vAlign w:val="center"/>
          </w:tcPr>
          <w:p w14:paraId="213EB507"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1045" w:type="dxa"/>
            <w:vAlign w:val="center"/>
          </w:tcPr>
          <w:p w14:paraId="7DB390D3"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6CC7F333" w14:textId="089EF2A6" w:rsidR="006D5584" w:rsidRPr="005D49F6" w:rsidRDefault="00464A93" w:rsidP="00283B1F">
            <w:pPr>
              <w:rPr>
                <w:rFonts w:ascii="Arial Narrow" w:hAnsi="Arial Narrow" w:cs="Times New Roman"/>
                <w:sz w:val="20"/>
              </w:rPr>
            </w:pPr>
            <w:r>
              <w:rPr>
                <w:rFonts w:ascii="Arial Narrow" w:hAnsi="Arial Narrow" w:cs="Times New Roman"/>
                <w:sz w:val="20"/>
              </w:rPr>
              <w:t>3 750,00</w:t>
            </w:r>
          </w:p>
        </w:tc>
        <w:tc>
          <w:tcPr>
            <w:tcW w:w="1043" w:type="dxa"/>
            <w:vAlign w:val="center"/>
          </w:tcPr>
          <w:p w14:paraId="4DC9D1C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5282A36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78C4736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238BF1F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4ACF39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EFCEBE" w14:textId="406DF31F" w:rsidR="006D5584" w:rsidRPr="005D49F6" w:rsidRDefault="00464A93" w:rsidP="00283B1F">
            <w:pPr>
              <w:rPr>
                <w:rFonts w:ascii="Arial Narrow" w:hAnsi="Arial Narrow" w:cs="Times New Roman"/>
                <w:b/>
                <w:sz w:val="20"/>
              </w:rPr>
            </w:pPr>
            <w:r>
              <w:rPr>
                <w:rFonts w:ascii="Arial Narrow" w:hAnsi="Arial Narrow" w:cs="Times New Roman"/>
                <w:b/>
                <w:sz w:val="20"/>
              </w:rPr>
              <w:t>3 750,00</w:t>
            </w:r>
          </w:p>
        </w:tc>
      </w:tr>
      <w:tr w:rsidR="003869AB" w:rsidRPr="00220AB0" w14:paraId="46A1E609" w14:textId="77777777" w:rsidTr="00ED67B9">
        <w:tc>
          <w:tcPr>
            <w:tcW w:w="2360" w:type="dxa"/>
            <w:gridSpan w:val="2"/>
            <w:shd w:val="clear" w:color="auto" w:fill="C6D9F1" w:themeFill="text2" w:themeFillTint="33"/>
            <w:vAlign w:val="center"/>
          </w:tcPr>
          <w:p w14:paraId="66F091B5" w14:textId="77777777" w:rsidR="003869AB" w:rsidRPr="00220AB0" w:rsidRDefault="003869AB" w:rsidP="00283B1F">
            <w:pPr>
              <w:rPr>
                <w:rFonts w:ascii="Arial Narrow" w:hAnsi="Arial Narrow" w:cs="Times New Roman"/>
              </w:rPr>
            </w:pPr>
            <w:r w:rsidRPr="00220AB0">
              <w:rPr>
                <w:rFonts w:ascii="Arial Narrow" w:hAnsi="Arial Narrow" w:cs="Times New Roman"/>
                <w:b/>
              </w:rPr>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w:t>
            </w:r>
          </w:p>
        </w:tc>
        <w:tc>
          <w:tcPr>
            <w:tcW w:w="1045" w:type="dxa"/>
            <w:vAlign w:val="center"/>
          </w:tcPr>
          <w:p w14:paraId="3612BB46" w14:textId="3FCD52DB" w:rsidR="003869AB" w:rsidRPr="005D49F6" w:rsidRDefault="00464A93" w:rsidP="00685D19">
            <w:pPr>
              <w:rPr>
                <w:rFonts w:ascii="Arial Narrow" w:hAnsi="Arial Narrow" w:cs="Times New Roman"/>
                <w:sz w:val="20"/>
              </w:rPr>
            </w:pPr>
            <w:r>
              <w:rPr>
                <w:rFonts w:ascii="Arial Narrow" w:hAnsi="Arial Narrow" w:cs="Times New Roman"/>
                <w:sz w:val="20"/>
              </w:rPr>
              <w:t>217,87</w:t>
            </w:r>
          </w:p>
        </w:tc>
        <w:tc>
          <w:tcPr>
            <w:tcW w:w="1027" w:type="dxa"/>
            <w:vAlign w:val="center"/>
          </w:tcPr>
          <w:p w14:paraId="07A74333" w14:textId="4754EBDF" w:rsidR="003869AB" w:rsidRPr="005D49F6" w:rsidRDefault="00464A93" w:rsidP="00283B1F">
            <w:pPr>
              <w:rPr>
                <w:rFonts w:ascii="Arial Narrow" w:hAnsi="Arial Narrow" w:cs="Times New Roman"/>
                <w:sz w:val="20"/>
              </w:rPr>
            </w:pPr>
            <w:r>
              <w:rPr>
                <w:rFonts w:ascii="Arial Narrow" w:hAnsi="Arial Narrow" w:cs="Times New Roman"/>
                <w:sz w:val="20"/>
              </w:rPr>
              <w:t>204,93</w:t>
            </w:r>
          </w:p>
        </w:tc>
        <w:tc>
          <w:tcPr>
            <w:tcW w:w="1043" w:type="dxa"/>
            <w:vAlign w:val="center"/>
          </w:tcPr>
          <w:p w14:paraId="36C9BC0B" w14:textId="3B1BABF0" w:rsidR="003869AB" w:rsidRPr="005D49F6" w:rsidRDefault="00464A93" w:rsidP="00283B1F">
            <w:pPr>
              <w:rPr>
                <w:rFonts w:ascii="Arial Narrow" w:hAnsi="Arial Narrow" w:cs="Times New Roman"/>
                <w:sz w:val="20"/>
              </w:rPr>
            </w:pPr>
            <w:r>
              <w:rPr>
                <w:rFonts w:ascii="Arial Narrow" w:hAnsi="Arial Narrow" w:cs="Times New Roman"/>
                <w:sz w:val="20"/>
              </w:rPr>
              <w:t>42,20</w:t>
            </w:r>
          </w:p>
        </w:tc>
        <w:tc>
          <w:tcPr>
            <w:tcW w:w="1027" w:type="dxa"/>
            <w:vAlign w:val="center"/>
          </w:tcPr>
          <w:p w14:paraId="743FB48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4AFDAAA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7F1F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7A5AD796"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0D988C" w14:textId="49AFF71A" w:rsidR="006D5584" w:rsidRPr="005D49F6" w:rsidRDefault="00464A93" w:rsidP="00283B1F">
            <w:pPr>
              <w:rPr>
                <w:rFonts w:ascii="Arial Narrow" w:hAnsi="Arial Narrow" w:cs="Times New Roman"/>
                <w:b/>
                <w:sz w:val="20"/>
              </w:rPr>
            </w:pPr>
            <w:r>
              <w:rPr>
                <w:rFonts w:ascii="Arial Narrow" w:hAnsi="Arial Narrow" w:cs="Times New Roman"/>
                <w:b/>
                <w:sz w:val="20"/>
              </w:rPr>
              <w:t>465,00</w:t>
            </w:r>
          </w:p>
        </w:tc>
      </w:tr>
      <w:tr w:rsidR="003869AB" w:rsidRPr="00220AB0" w14:paraId="22F10216" w14:textId="77777777" w:rsidTr="00ED67B9">
        <w:tc>
          <w:tcPr>
            <w:tcW w:w="2360" w:type="dxa"/>
            <w:gridSpan w:val="2"/>
            <w:shd w:val="clear" w:color="auto" w:fill="C6D9F1" w:themeFill="text2" w:themeFillTint="33"/>
            <w:vAlign w:val="center"/>
          </w:tcPr>
          <w:p w14:paraId="4C02C36E"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1045" w:type="dxa"/>
            <w:vAlign w:val="center"/>
          </w:tcPr>
          <w:p w14:paraId="21103CD6" w14:textId="2472E0A8" w:rsidR="003869AB" w:rsidRPr="005D49F6" w:rsidRDefault="00464A93" w:rsidP="00E45185">
            <w:pPr>
              <w:rPr>
                <w:rFonts w:ascii="Arial Narrow" w:hAnsi="Arial Narrow" w:cs="Times New Roman"/>
                <w:sz w:val="20"/>
              </w:rPr>
            </w:pPr>
            <w:r>
              <w:rPr>
                <w:rFonts w:ascii="Arial Narrow" w:hAnsi="Arial Narrow" w:cs="Times New Roman"/>
                <w:sz w:val="20"/>
              </w:rPr>
              <w:t>2 132,50</w:t>
            </w:r>
          </w:p>
        </w:tc>
        <w:tc>
          <w:tcPr>
            <w:tcW w:w="1027" w:type="dxa"/>
            <w:vAlign w:val="center"/>
          </w:tcPr>
          <w:p w14:paraId="06FAAA79" w14:textId="3085D23E" w:rsidR="003869AB" w:rsidRPr="005D49F6" w:rsidRDefault="00464A93" w:rsidP="00E45185">
            <w:pPr>
              <w:rPr>
                <w:rFonts w:ascii="Arial Narrow" w:hAnsi="Arial Narrow" w:cs="Times New Roman"/>
                <w:sz w:val="20"/>
              </w:rPr>
            </w:pPr>
            <w:r>
              <w:rPr>
                <w:rFonts w:ascii="Arial Narrow" w:hAnsi="Arial Narrow" w:cs="Times New Roman"/>
                <w:sz w:val="20"/>
              </w:rPr>
              <w:t>123,00</w:t>
            </w:r>
          </w:p>
        </w:tc>
        <w:tc>
          <w:tcPr>
            <w:tcW w:w="1043" w:type="dxa"/>
            <w:vAlign w:val="center"/>
          </w:tcPr>
          <w:p w14:paraId="596A976E" w14:textId="77777777" w:rsidR="003869AB" w:rsidRPr="005D49F6" w:rsidRDefault="00ED75CD" w:rsidP="00283B1F">
            <w:pPr>
              <w:rPr>
                <w:rFonts w:ascii="Arial Narrow" w:hAnsi="Arial Narrow" w:cs="Times New Roman"/>
                <w:sz w:val="20"/>
              </w:rPr>
            </w:pPr>
            <w:r w:rsidRPr="005D49F6">
              <w:rPr>
                <w:rFonts w:ascii="Arial Narrow" w:hAnsi="Arial Narrow" w:cs="Times New Roman"/>
                <w:sz w:val="20"/>
              </w:rPr>
              <w:t>0,</w:t>
            </w:r>
            <w:r w:rsidR="003869AB" w:rsidRPr="005D49F6">
              <w:rPr>
                <w:rFonts w:ascii="Arial Narrow" w:hAnsi="Arial Narrow" w:cs="Times New Roman"/>
                <w:sz w:val="20"/>
              </w:rPr>
              <w:t>00</w:t>
            </w:r>
          </w:p>
        </w:tc>
        <w:tc>
          <w:tcPr>
            <w:tcW w:w="1027" w:type="dxa"/>
            <w:vAlign w:val="center"/>
          </w:tcPr>
          <w:p w14:paraId="69404EFE" w14:textId="2DCB8E7E" w:rsidR="003869AB" w:rsidRPr="00B142A7" w:rsidRDefault="00464A93" w:rsidP="00ED67B9">
            <w:pPr>
              <w:rPr>
                <w:rFonts w:ascii="Arial Narrow" w:hAnsi="Arial Narrow" w:cs="Times New Roman"/>
                <w:sz w:val="20"/>
              </w:rPr>
            </w:pPr>
            <w:r>
              <w:rPr>
                <w:rFonts w:ascii="Arial Narrow" w:hAnsi="Arial Narrow" w:cs="Times New Roman"/>
                <w:sz w:val="20"/>
              </w:rPr>
              <w:t>500,00</w:t>
            </w:r>
          </w:p>
        </w:tc>
        <w:tc>
          <w:tcPr>
            <w:tcW w:w="1026" w:type="dxa"/>
            <w:vAlign w:val="center"/>
          </w:tcPr>
          <w:p w14:paraId="63236606" w14:textId="5BB1821A" w:rsidR="003869AB" w:rsidRPr="00B142A7" w:rsidRDefault="00464A93" w:rsidP="00283B1F">
            <w:pPr>
              <w:rPr>
                <w:rFonts w:ascii="Arial Narrow" w:hAnsi="Arial Narrow" w:cs="Times New Roman"/>
                <w:sz w:val="20"/>
              </w:rPr>
            </w:pPr>
            <w:r>
              <w:rPr>
                <w:rFonts w:ascii="Arial Narrow" w:hAnsi="Arial Narrow" w:cs="Times New Roman"/>
                <w:sz w:val="20"/>
              </w:rPr>
              <w:t>7 254,12</w:t>
            </w:r>
          </w:p>
        </w:tc>
        <w:tc>
          <w:tcPr>
            <w:tcW w:w="1043" w:type="dxa"/>
            <w:vAlign w:val="center"/>
          </w:tcPr>
          <w:p w14:paraId="600DE8C4" w14:textId="1F72590F" w:rsidR="00ED67B9" w:rsidRPr="00B142A7" w:rsidRDefault="00464A93" w:rsidP="00ED67B9">
            <w:pPr>
              <w:rPr>
                <w:rFonts w:ascii="Arial Narrow" w:hAnsi="Arial Narrow" w:cs="Times New Roman"/>
                <w:sz w:val="20"/>
              </w:rPr>
            </w:pPr>
            <w:r>
              <w:rPr>
                <w:rFonts w:ascii="Arial Narrow" w:hAnsi="Arial Narrow" w:cs="Times New Roman"/>
                <w:sz w:val="20"/>
              </w:rPr>
              <w:t>6 175,88</w:t>
            </w:r>
          </w:p>
        </w:tc>
        <w:tc>
          <w:tcPr>
            <w:tcW w:w="1043" w:type="dxa"/>
            <w:vAlign w:val="center"/>
          </w:tcPr>
          <w:p w14:paraId="10A79952" w14:textId="3BDD67B6" w:rsidR="003869AB" w:rsidRPr="005D49F6" w:rsidRDefault="00464A93" w:rsidP="00283B1F">
            <w:pPr>
              <w:rPr>
                <w:rFonts w:ascii="Arial Narrow" w:hAnsi="Arial Narrow" w:cs="Times New Roman"/>
                <w:sz w:val="20"/>
              </w:rPr>
            </w:pPr>
            <w:r>
              <w:rPr>
                <w:rFonts w:ascii="Arial Narrow" w:hAnsi="Arial Narrow" w:cs="Times New Roman"/>
                <w:sz w:val="20"/>
              </w:rPr>
              <w:t>2 500,00</w:t>
            </w:r>
          </w:p>
        </w:tc>
        <w:tc>
          <w:tcPr>
            <w:tcW w:w="1051" w:type="dxa"/>
            <w:vAlign w:val="center"/>
          </w:tcPr>
          <w:p w14:paraId="08B1AAC5" w14:textId="398CDD11" w:rsidR="006D5584" w:rsidRPr="005D49F6" w:rsidRDefault="00464A93" w:rsidP="00424559">
            <w:pPr>
              <w:rPr>
                <w:rFonts w:ascii="Arial Narrow" w:hAnsi="Arial Narrow" w:cs="Times New Roman"/>
                <w:b/>
                <w:sz w:val="20"/>
              </w:rPr>
            </w:pPr>
            <w:r>
              <w:rPr>
                <w:rFonts w:ascii="Arial Narrow" w:hAnsi="Arial Narrow" w:cs="Times New Roman"/>
                <w:b/>
                <w:sz w:val="20"/>
              </w:rPr>
              <w:t>18 685,50</w:t>
            </w:r>
          </w:p>
        </w:tc>
      </w:tr>
      <w:tr w:rsidR="003869AB" w:rsidRPr="00220AB0" w14:paraId="2BBC9BD4" w14:textId="77777777" w:rsidTr="00ED67B9">
        <w:trPr>
          <w:trHeight w:val="772"/>
        </w:trPr>
        <w:tc>
          <w:tcPr>
            <w:tcW w:w="1188" w:type="dxa"/>
            <w:shd w:val="clear" w:color="auto" w:fill="C6D9F1" w:themeFill="text2" w:themeFillTint="33"/>
            <w:vAlign w:val="center"/>
          </w:tcPr>
          <w:p w14:paraId="12E9DA84" w14:textId="77777777" w:rsidR="003869AB" w:rsidRPr="00220AB0" w:rsidRDefault="003869AB" w:rsidP="00283B1F">
            <w:pPr>
              <w:rPr>
                <w:rFonts w:ascii="Arial Narrow" w:hAnsi="Arial Narrow" w:cs="Times New Roman"/>
                <w:b/>
              </w:rPr>
            </w:pPr>
            <w:r w:rsidRPr="00F123C2">
              <w:rPr>
                <w:rFonts w:ascii="Arial Narrow" w:hAnsi="Arial Narrow" w:cs="Times New Roman"/>
                <w:b/>
              </w:rPr>
              <w:lastRenderedPageBreak/>
              <w:t>Prasa lokalna/regionalna lub strony internetowe Gmin z  obszaru LGD</w:t>
            </w:r>
          </w:p>
        </w:tc>
        <w:tc>
          <w:tcPr>
            <w:tcW w:w="1172" w:type="dxa"/>
            <w:shd w:val="clear" w:color="auto" w:fill="C6D9F1" w:themeFill="text2" w:themeFillTint="33"/>
            <w:vAlign w:val="center"/>
          </w:tcPr>
          <w:p w14:paraId="3070A93C"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1045" w:type="dxa"/>
            <w:vAlign w:val="center"/>
          </w:tcPr>
          <w:p w14:paraId="6D192DDF" w14:textId="226755DB" w:rsidR="003869AB" w:rsidRPr="005D49F6" w:rsidRDefault="00464A93" w:rsidP="00283B1F">
            <w:pPr>
              <w:rPr>
                <w:rFonts w:ascii="Arial Narrow" w:hAnsi="Arial Narrow" w:cs="Times New Roman"/>
                <w:sz w:val="20"/>
              </w:rPr>
            </w:pPr>
            <w:r>
              <w:rPr>
                <w:rFonts w:ascii="Arial Narrow" w:hAnsi="Arial Narrow" w:cs="Times New Roman"/>
                <w:sz w:val="20"/>
              </w:rPr>
              <w:t>86,41</w:t>
            </w:r>
          </w:p>
        </w:tc>
        <w:tc>
          <w:tcPr>
            <w:tcW w:w="1027" w:type="dxa"/>
            <w:vAlign w:val="center"/>
          </w:tcPr>
          <w:p w14:paraId="7A01C45C" w14:textId="06DD54DD" w:rsidR="003869AB" w:rsidRPr="005D49F6" w:rsidRDefault="00464A93" w:rsidP="00283B1F">
            <w:pPr>
              <w:rPr>
                <w:rFonts w:ascii="Arial Narrow" w:hAnsi="Arial Narrow" w:cs="Times New Roman"/>
                <w:sz w:val="20"/>
              </w:rPr>
            </w:pPr>
            <w:r>
              <w:rPr>
                <w:rFonts w:ascii="Arial Narrow" w:hAnsi="Arial Narrow" w:cs="Times New Roman"/>
                <w:sz w:val="20"/>
              </w:rPr>
              <w:t>145,59</w:t>
            </w:r>
          </w:p>
        </w:tc>
        <w:tc>
          <w:tcPr>
            <w:tcW w:w="1043" w:type="dxa"/>
            <w:vAlign w:val="center"/>
          </w:tcPr>
          <w:p w14:paraId="30D70378" w14:textId="77777777" w:rsidR="003869AB" w:rsidRPr="005D49F6" w:rsidRDefault="00B27D8E"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43ACEAC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5BB7F2D7"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AEC096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C32AD5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F2F7C34" w14:textId="6B1FAE91" w:rsidR="00283B1F" w:rsidRPr="005D49F6" w:rsidRDefault="00464A93" w:rsidP="00424559">
            <w:pPr>
              <w:rPr>
                <w:rFonts w:ascii="Arial Narrow" w:hAnsi="Arial Narrow" w:cs="Times New Roman"/>
                <w:b/>
                <w:sz w:val="20"/>
              </w:rPr>
            </w:pPr>
            <w:r>
              <w:rPr>
                <w:rFonts w:ascii="Arial Narrow" w:hAnsi="Arial Narrow" w:cs="Times New Roman"/>
                <w:b/>
                <w:sz w:val="20"/>
              </w:rPr>
              <w:t>232,00</w:t>
            </w:r>
          </w:p>
        </w:tc>
      </w:tr>
      <w:tr w:rsidR="00ED67B9" w:rsidRPr="00220AB0" w14:paraId="6DD07AB4" w14:textId="77777777" w:rsidTr="00ED67B9">
        <w:tc>
          <w:tcPr>
            <w:tcW w:w="1188" w:type="dxa"/>
            <w:vMerge w:val="restart"/>
            <w:shd w:val="clear" w:color="auto" w:fill="C6D9F1" w:themeFill="text2" w:themeFillTint="33"/>
            <w:vAlign w:val="center"/>
          </w:tcPr>
          <w:p w14:paraId="7DB2CBAF"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172" w:type="dxa"/>
            <w:shd w:val="clear" w:color="auto" w:fill="C6D9F1" w:themeFill="text2" w:themeFillTint="33"/>
            <w:vAlign w:val="center"/>
          </w:tcPr>
          <w:p w14:paraId="4F3CF734"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045" w:type="dxa"/>
            <w:shd w:val="clear" w:color="auto" w:fill="FFFFFF" w:themeFill="background1"/>
            <w:vAlign w:val="center"/>
          </w:tcPr>
          <w:p w14:paraId="70E45ED4"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0416DC2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C08CF2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BFBFBF" w:themeFill="background1" w:themeFillShade="BF"/>
            <w:vAlign w:val="center"/>
          </w:tcPr>
          <w:p w14:paraId="79002F8F" w14:textId="77777777" w:rsidR="003869AB" w:rsidRPr="005D49F6" w:rsidRDefault="003869AB" w:rsidP="00283B1F">
            <w:pPr>
              <w:rPr>
                <w:rFonts w:ascii="Arial Narrow" w:hAnsi="Arial Narrow" w:cs="Times New Roman"/>
                <w:sz w:val="20"/>
              </w:rPr>
            </w:pPr>
          </w:p>
        </w:tc>
        <w:tc>
          <w:tcPr>
            <w:tcW w:w="1026" w:type="dxa"/>
            <w:shd w:val="clear" w:color="auto" w:fill="BFBFBF" w:themeFill="background1" w:themeFillShade="BF"/>
            <w:vAlign w:val="center"/>
          </w:tcPr>
          <w:p w14:paraId="172D6EDF"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45032678"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24E7B20C" w14:textId="77777777" w:rsidR="003869AB" w:rsidRPr="005D49F6" w:rsidRDefault="003869AB" w:rsidP="00283B1F">
            <w:pPr>
              <w:rPr>
                <w:rFonts w:ascii="Arial Narrow" w:hAnsi="Arial Narrow" w:cs="Times New Roman"/>
                <w:sz w:val="20"/>
              </w:rPr>
            </w:pPr>
          </w:p>
        </w:tc>
        <w:tc>
          <w:tcPr>
            <w:tcW w:w="1051" w:type="dxa"/>
            <w:shd w:val="clear" w:color="auto" w:fill="FFFFFF" w:themeFill="background1"/>
            <w:vAlign w:val="center"/>
          </w:tcPr>
          <w:p w14:paraId="67A631C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ED67B9" w:rsidRPr="00220AB0" w14:paraId="735DA97A" w14:textId="77777777" w:rsidTr="00ED67B9">
        <w:tc>
          <w:tcPr>
            <w:tcW w:w="1188" w:type="dxa"/>
            <w:vMerge/>
            <w:shd w:val="clear" w:color="auto" w:fill="C6D9F1" w:themeFill="text2" w:themeFillTint="33"/>
            <w:vAlign w:val="center"/>
          </w:tcPr>
          <w:p w14:paraId="72003C4E" w14:textId="77777777" w:rsidR="003869AB" w:rsidRPr="00220AB0" w:rsidRDefault="003869AB" w:rsidP="00283B1F">
            <w:pPr>
              <w:rPr>
                <w:rFonts w:ascii="Arial Narrow" w:hAnsi="Arial Narrow" w:cs="Times New Roman"/>
              </w:rPr>
            </w:pPr>
          </w:p>
        </w:tc>
        <w:tc>
          <w:tcPr>
            <w:tcW w:w="1172" w:type="dxa"/>
            <w:shd w:val="clear" w:color="auto" w:fill="C6D9F1" w:themeFill="text2" w:themeFillTint="33"/>
            <w:vAlign w:val="center"/>
          </w:tcPr>
          <w:p w14:paraId="0E16725A"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045" w:type="dxa"/>
            <w:shd w:val="clear" w:color="auto" w:fill="BFBFBF" w:themeFill="background1" w:themeFillShade="BF"/>
            <w:vAlign w:val="center"/>
          </w:tcPr>
          <w:p w14:paraId="0E2D9D79" w14:textId="77777777" w:rsidR="003869AB" w:rsidRPr="005D49F6" w:rsidRDefault="003869AB" w:rsidP="00283B1F">
            <w:pPr>
              <w:rPr>
                <w:rFonts w:ascii="Arial Narrow" w:hAnsi="Arial Narrow" w:cs="Times New Roman"/>
                <w:sz w:val="20"/>
              </w:rPr>
            </w:pPr>
          </w:p>
        </w:tc>
        <w:tc>
          <w:tcPr>
            <w:tcW w:w="1027" w:type="dxa"/>
            <w:shd w:val="clear" w:color="auto" w:fill="FFFFFF" w:themeFill="background1"/>
            <w:vAlign w:val="center"/>
          </w:tcPr>
          <w:p w14:paraId="06FED5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963489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70E5676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shd w:val="clear" w:color="auto" w:fill="FFFFFF" w:themeFill="background1"/>
            <w:vAlign w:val="center"/>
          </w:tcPr>
          <w:p w14:paraId="2BBBE4D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2477FB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BFABD3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shd w:val="clear" w:color="auto" w:fill="FFFFFF" w:themeFill="background1"/>
            <w:vAlign w:val="center"/>
          </w:tcPr>
          <w:p w14:paraId="0D39898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3869AB" w:rsidRPr="00220AB0" w14:paraId="0FA0417E" w14:textId="77777777" w:rsidTr="00ED67B9">
        <w:tc>
          <w:tcPr>
            <w:tcW w:w="2360" w:type="dxa"/>
            <w:gridSpan w:val="2"/>
            <w:shd w:val="clear" w:color="auto" w:fill="C6D9F1" w:themeFill="text2" w:themeFillTint="33"/>
            <w:vAlign w:val="center"/>
          </w:tcPr>
          <w:p w14:paraId="6B3B9851"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1045" w:type="dxa"/>
            <w:vAlign w:val="center"/>
          </w:tcPr>
          <w:p w14:paraId="684F43F3" w14:textId="180D8C23" w:rsidR="003869AB" w:rsidRPr="005D49F6" w:rsidRDefault="00464A93" w:rsidP="00283B1F">
            <w:pPr>
              <w:rPr>
                <w:rFonts w:ascii="Arial Narrow" w:hAnsi="Arial Narrow" w:cs="Times New Roman"/>
                <w:sz w:val="20"/>
              </w:rPr>
            </w:pPr>
            <w:r>
              <w:rPr>
                <w:rFonts w:ascii="Arial Narrow" w:hAnsi="Arial Narrow" w:cs="Times New Roman"/>
                <w:sz w:val="20"/>
              </w:rPr>
              <w:t>558,29</w:t>
            </w:r>
          </w:p>
        </w:tc>
        <w:tc>
          <w:tcPr>
            <w:tcW w:w="1027" w:type="dxa"/>
            <w:vAlign w:val="center"/>
          </w:tcPr>
          <w:p w14:paraId="43EEAA1A" w14:textId="21B0F1DA" w:rsidR="003869AB" w:rsidRPr="005D49F6" w:rsidRDefault="00464A93" w:rsidP="006C5CF4">
            <w:pPr>
              <w:rPr>
                <w:rFonts w:ascii="Arial Narrow" w:hAnsi="Arial Narrow" w:cs="Times New Roman"/>
                <w:sz w:val="20"/>
              </w:rPr>
            </w:pPr>
            <w:r>
              <w:rPr>
                <w:rFonts w:ascii="Arial Narrow" w:hAnsi="Arial Narrow" w:cs="Times New Roman"/>
                <w:sz w:val="20"/>
              </w:rPr>
              <w:t>670,57</w:t>
            </w:r>
          </w:p>
        </w:tc>
        <w:tc>
          <w:tcPr>
            <w:tcW w:w="1043" w:type="dxa"/>
            <w:vAlign w:val="center"/>
          </w:tcPr>
          <w:p w14:paraId="360085B5" w14:textId="170A6476" w:rsidR="003869AB" w:rsidRPr="005D49F6" w:rsidRDefault="00464A93" w:rsidP="00283B1F">
            <w:pPr>
              <w:rPr>
                <w:rFonts w:ascii="Arial Narrow" w:hAnsi="Arial Narrow" w:cs="Times New Roman"/>
                <w:sz w:val="20"/>
              </w:rPr>
            </w:pPr>
            <w:r>
              <w:rPr>
                <w:rFonts w:ascii="Arial Narrow" w:hAnsi="Arial Narrow" w:cs="Times New Roman"/>
                <w:sz w:val="20"/>
              </w:rPr>
              <w:t>1 908,64</w:t>
            </w:r>
          </w:p>
        </w:tc>
        <w:tc>
          <w:tcPr>
            <w:tcW w:w="1027" w:type="dxa"/>
            <w:vAlign w:val="center"/>
          </w:tcPr>
          <w:p w14:paraId="4D16379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685E5BB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6F245F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1773DD1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52F4AD11" w14:textId="7C2DBDFB" w:rsidR="00283B1F" w:rsidRPr="005D49F6" w:rsidRDefault="00464A93" w:rsidP="00283B1F">
            <w:pPr>
              <w:rPr>
                <w:rFonts w:ascii="Arial Narrow" w:hAnsi="Arial Narrow" w:cs="Times New Roman"/>
                <w:b/>
                <w:sz w:val="20"/>
              </w:rPr>
            </w:pPr>
            <w:r>
              <w:rPr>
                <w:rFonts w:ascii="Arial Narrow" w:hAnsi="Arial Narrow" w:cs="Times New Roman"/>
                <w:b/>
                <w:sz w:val="20"/>
              </w:rPr>
              <w:t>3 137,50</w:t>
            </w:r>
          </w:p>
        </w:tc>
      </w:tr>
      <w:tr w:rsidR="003869AB" w:rsidRPr="00220AB0" w14:paraId="3BCD400D" w14:textId="77777777" w:rsidTr="00ED67B9">
        <w:tc>
          <w:tcPr>
            <w:tcW w:w="2360" w:type="dxa"/>
            <w:gridSpan w:val="2"/>
            <w:tcBorders>
              <w:bottom w:val="double" w:sz="4" w:space="0" w:color="auto"/>
            </w:tcBorders>
            <w:shd w:val="clear" w:color="auto" w:fill="C6D9F1" w:themeFill="text2" w:themeFillTint="33"/>
            <w:vAlign w:val="center"/>
          </w:tcPr>
          <w:p w14:paraId="11FD29DC"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1045" w:type="dxa"/>
            <w:tcBorders>
              <w:bottom w:val="double" w:sz="4" w:space="0" w:color="auto"/>
            </w:tcBorders>
            <w:vAlign w:val="center"/>
          </w:tcPr>
          <w:p w14:paraId="383BA168" w14:textId="7ADC79B5" w:rsidR="003869AB" w:rsidRPr="005D49F6" w:rsidRDefault="00464A93" w:rsidP="00283B1F">
            <w:pPr>
              <w:rPr>
                <w:rFonts w:ascii="Arial Narrow" w:hAnsi="Arial Narrow" w:cs="Times New Roman"/>
                <w:sz w:val="20"/>
              </w:rPr>
            </w:pPr>
            <w:r>
              <w:rPr>
                <w:rFonts w:ascii="Arial Narrow" w:hAnsi="Arial Narrow" w:cs="Times New Roman"/>
                <w:sz w:val="20"/>
              </w:rPr>
              <w:t>1 731,74</w:t>
            </w:r>
          </w:p>
        </w:tc>
        <w:tc>
          <w:tcPr>
            <w:tcW w:w="1027" w:type="dxa"/>
            <w:tcBorders>
              <w:bottom w:val="double" w:sz="4" w:space="0" w:color="auto"/>
            </w:tcBorders>
            <w:vAlign w:val="center"/>
          </w:tcPr>
          <w:p w14:paraId="62ABED5E" w14:textId="5930014B" w:rsidR="003869AB" w:rsidRPr="005D49F6" w:rsidRDefault="00464A93" w:rsidP="00C81E27">
            <w:pPr>
              <w:rPr>
                <w:rFonts w:ascii="Arial Narrow" w:hAnsi="Arial Narrow" w:cs="Times New Roman"/>
                <w:sz w:val="20"/>
              </w:rPr>
            </w:pPr>
            <w:r>
              <w:rPr>
                <w:rFonts w:ascii="Arial Narrow" w:hAnsi="Arial Narrow" w:cs="Times New Roman"/>
                <w:sz w:val="20"/>
              </w:rPr>
              <w:t>3 649,06</w:t>
            </w:r>
          </w:p>
        </w:tc>
        <w:tc>
          <w:tcPr>
            <w:tcW w:w="1043" w:type="dxa"/>
            <w:tcBorders>
              <w:bottom w:val="double" w:sz="4" w:space="0" w:color="auto"/>
            </w:tcBorders>
            <w:vAlign w:val="center"/>
          </w:tcPr>
          <w:p w14:paraId="78BE2023" w14:textId="787FD171" w:rsidR="003869AB" w:rsidRPr="005D49F6" w:rsidRDefault="00464A93" w:rsidP="00283B1F">
            <w:pPr>
              <w:rPr>
                <w:rFonts w:ascii="Arial Narrow" w:hAnsi="Arial Narrow" w:cs="Times New Roman"/>
                <w:sz w:val="20"/>
              </w:rPr>
            </w:pPr>
            <w:r>
              <w:rPr>
                <w:rFonts w:ascii="Arial Narrow" w:hAnsi="Arial Narrow" w:cs="Times New Roman"/>
                <w:sz w:val="20"/>
              </w:rPr>
              <w:t>2 174,20</w:t>
            </w:r>
          </w:p>
        </w:tc>
        <w:tc>
          <w:tcPr>
            <w:tcW w:w="1027" w:type="dxa"/>
            <w:tcBorders>
              <w:bottom w:val="double" w:sz="4" w:space="0" w:color="auto"/>
            </w:tcBorders>
            <w:vAlign w:val="center"/>
          </w:tcPr>
          <w:p w14:paraId="30E3DB9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tcBorders>
              <w:bottom w:val="double" w:sz="4" w:space="0" w:color="auto"/>
            </w:tcBorders>
            <w:vAlign w:val="center"/>
          </w:tcPr>
          <w:p w14:paraId="306D34C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tcBorders>
              <w:bottom w:val="double" w:sz="4" w:space="0" w:color="auto"/>
            </w:tcBorders>
            <w:vAlign w:val="center"/>
          </w:tcPr>
          <w:p w14:paraId="688FBF11" w14:textId="6CB079E4" w:rsidR="003869AB" w:rsidRPr="005D49F6" w:rsidRDefault="002F2C70" w:rsidP="00283B1F">
            <w:pPr>
              <w:rPr>
                <w:rFonts w:ascii="Arial Narrow" w:hAnsi="Arial Narrow" w:cs="Times New Roman"/>
                <w:sz w:val="20"/>
              </w:rPr>
            </w:pPr>
            <w:r>
              <w:rPr>
                <w:rFonts w:ascii="Arial Narrow" w:hAnsi="Arial Narrow" w:cs="Times New Roman"/>
                <w:sz w:val="20"/>
              </w:rPr>
              <w:t>2 500,00</w:t>
            </w:r>
          </w:p>
        </w:tc>
        <w:tc>
          <w:tcPr>
            <w:tcW w:w="1043" w:type="dxa"/>
            <w:tcBorders>
              <w:bottom w:val="double" w:sz="4" w:space="0" w:color="auto"/>
            </w:tcBorders>
            <w:vAlign w:val="center"/>
          </w:tcPr>
          <w:p w14:paraId="6DA1CF28" w14:textId="23BF7C63" w:rsidR="003869AB" w:rsidRPr="005D49F6" w:rsidRDefault="002F2C70" w:rsidP="00283B1F">
            <w:pPr>
              <w:rPr>
                <w:rFonts w:ascii="Arial Narrow" w:hAnsi="Arial Narrow" w:cs="Times New Roman"/>
                <w:sz w:val="20"/>
              </w:rPr>
            </w:pPr>
            <w:r>
              <w:rPr>
                <w:rFonts w:ascii="Arial Narrow" w:hAnsi="Arial Narrow" w:cs="Times New Roman"/>
                <w:sz w:val="20"/>
              </w:rPr>
              <w:t>1 250,00</w:t>
            </w:r>
          </w:p>
        </w:tc>
        <w:tc>
          <w:tcPr>
            <w:tcW w:w="1051" w:type="dxa"/>
            <w:tcBorders>
              <w:bottom w:val="double" w:sz="4" w:space="0" w:color="auto"/>
            </w:tcBorders>
            <w:vAlign w:val="center"/>
          </w:tcPr>
          <w:p w14:paraId="73952584" w14:textId="165CAC18" w:rsidR="00283B1F" w:rsidRPr="005D49F6" w:rsidRDefault="00464A93" w:rsidP="00283B1F">
            <w:pPr>
              <w:rPr>
                <w:rFonts w:ascii="Arial Narrow" w:hAnsi="Arial Narrow" w:cs="Times New Roman"/>
                <w:b/>
                <w:sz w:val="20"/>
              </w:rPr>
            </w:pPr>
            <w:r>
              <w:rPr>
                <w:rFonts w:ascii="Arial Narrow" w:hAnsi="Arial Narrow" w:cs="Times New Roman"/>
                <w:b/>
                <w:sz w:val="20"/>
              </w:rPr>
              <w:t>11 305,00</w:t>
            </w:r>
          </w:p>
        </w:tc>
      </w:tr>
      <w:tr w:rsidR="003869AB" w:rsidRPr="00220AB0" w14:paraId="79B91DC3"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p w14:paraId="4C1EF961"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c>
          <w:tcPr>
            <w:tcW w:w="1045" w:type="dxa"/>
            <w:tcBorders>
              <w:top w:val="double" w:sz="4" w:space="0" w:color="auto"/>
              <w:bottom w:val="double" w:sz="4" w:space="0" w:color="auto"/>
            </w:tcBorders>
            <w:vAlign w:val="center"/>
          </w:tcPr>
          <w:p w14:paraId="5B51E317" w14:textId="71A21A6A" w:rsidR="003869AB" w:rsidRPr="005D49F6" w:rsidRDefault="00464A93" w:rsidP="00E46E68">
            <w:pPr>
              <w:rPr>
                <w:rFonts w:ascii="Arial Narrow" w:hAnsi="Arial Narrow" w:cs="Times New Roman"/>
                <w:b/>
                <w:sz w:val="20"/>
              </w:rPr>
            </w:pPr>
            <w:r>
              <w:rPr>
                <w:rFonts w:ascii="Arial Narrow" w:hAnsi="Arial Narrow" w:cs="Times New Roman"/>
                <w:b/>
                <w:sz w:val="20"/>
              </w:rPr>
              <w:t>4 726,80</w:t>
            </w:r>
          </w:p>
        </w:tc>
        <w:tc>
          <w:tcPr>
            <w:tcW w:w="1027" w:type="dxa"/>
            <w:tcBorders>
              <w:top w:val="double" w:sz="4" w:space="0" w:color="auto"/>
              <w:bottom w:val="double" w:sz="4" w:space="0" w:color="auto"/>
            </w:tcBorders>
            <w:vAlign w:val="center"/>
          </w:tcPr>
          <w:p w14:paraId="6F81D5ED" w14:textId="05E6D5D5" w:rsidR="003869AB" w:rsidRPr="005D49F6" w:rsidRDefault="00464A93" w:rsidP="00E46E68">
            <w:pPr>
              <w:jc w:val="both"/>
              <w:rPr>
                <w:rFonts w:ascii="Arial Narrow" w:hAnsi="Arial Narrow" w:cs="Times New Roman"/>
                <w:b/>
                <w:sz w:val="20"/>
              </w:rPr>
            </w:pPr>
            <w:r>
              <w:rPr>
                <w:rFonts w:ascii="Arial Narrow" w:hAnsi="Arial Narrow" w:cs="Times New Roman"/>
                <w:b/>
                <w:sz w:val="20"/>
              </w:rPr>
              <w:t>8 543,16</w:t>
            </w:r>
          </w:p>
        </w:tc>
        <w:tc>
          <w:tcPr>
            <w:tcW w:w="1043" w:type="dxa"/>
            <w:tcBorders>
              <w:top w:val="double" w:sz="4" w:space="0" w:color="auto"/>
              <w:bottom w:val="double" w:sz="4" w:space="0" w:color="auto"/>
            </w:tcBorders>
            <w:vAlign w:val="center"/>
          </w:tcPr>
          <w:p w14:paraId="62F8C681" w14:textId="12FEE66E" w:rsidR="003869AB" w:rsidRPr="005D49F6" w:rsidRDefault="00464A93" w:rsidP="00E46E68">
            <w:pPr>
              <w:rPr>
                <w:rFonts w:ascii="Arial Narrow" w:hAnsi="Arial Narrow" w:cs="Times New Roman"/>
                <w:b/>
                <w:sz w:val="20"/>
              </w:rPr>
            </w:pPr>
            <w:r>
              <w:rPr>
                <w:rFonts w:ascii="Arial Narrow" w:hAnsi="Arial Narrow" w:cs="Times New Roman"/>
                <w:b/>
                <w:sz w:val="20"/>
              </w:rPr>
              <w:t>4 275,04</w:t>
            </w:r>
          </w:p>
        </w:tc>
        <w:tc>
          <w:tcPr>
            <w:tcW w:w="1027" w:type="dxa"/>
            <w:tcBorders>
              <w:top w:val="double" w:sz="4" w:space="0" w:color="auto"/>
              <w:bottom w:val="double" w:sz="4" w:space="0" w:color="auto"/>
            </w:tcBorders>
            <w:vAlign w:val="center"/>
          </w:tcPr>
          <w:p w14:paraId="7CE421CB" w14:textId="195B31EB" w:rsidR="003869AB" w:rsidRPr="00B142A7" w:rsidRDefault="00464A93" w:rsidP="00E46E68">
            <w:pPr>
              <w:rPr>
                <w:rFonts w:ascii="Arial Narrow" w:hAnsi="Arial Narrow" w:cs="Times New Roman"/>
                <w:b/>
                <w:sz w:val="20"/>
              </w:rPr>
            </w:pPr>
            <w:r>
              <w:rPr>
                <w:rFonts w:ascii="Arial Narrow" w:hAnsi="Arial Narrow" w:cs="Times New Roman"/>
                <w:b/>
                <w:sz w:val="20"/>
              </w:rPr>
              <w:t>500,00</w:t>
            </w:r>
          </w:p>
        </w:tc>
        <w:tc>
          <w:tcPr>
            <w:tcW w:w="1026" w:type="dxa"/>
            <w:tcBorders>
              <w:top w:val="double" w:sz="4" w:space="0" w:color="auto"/>
              <w:bottom w:val="double" w:sz="4" w:space="0" w:color="auto"/>
            </w:tcBorders>
            <w:vAlign w:val="center"/>
          </w:tcPr>
          <w:p w14:paraId="56F16E44" w14:textId="54C8B624" w:rsidR="003869AB" w:rsidRPr="00B142A7" w:rsidRDefault="00464A93" w:rsidP="00283B1F">
            <w:pPr>
              <w:rPr>
                <w:rFonts w:ascii="Arial Narrow" w:hAnsi="Arial Narrow" w:cs="Times New Roman"/>
                <w:b/>
                <w:sz w:val="20"/>
              </w:rPr>
            </w:pPr>
            <w:r>
              <w:rPr>
                <w:rFonts w:ascii="Arial Narrow" w:hAnsi="Arial Narrow" w:cs="Times New Roman"/>
                <w:b/>
                <w:sz w:val="20"/>
              </w:rPr>
              <w:t>7 254,12</w:t>
            </w:r>
          </w:p>
        </w:tc>
        <w:tc>
          <w:tcPr>
            <w:tcW w:w="1043" w:type="dxa"/>
            <w:tcBorders>
              <w:top w:val="double" w:sz="4" w:space="0" w:color="auto"/>
              <w:bottom w:val="double" w:sz="4" w:space="0" w:color="auto"/>
            </w:tcBorders>
            <w:vAlign w:val="center"/>
          </w:tcPr>
          <w:p w14:paraId="07201AEC" w14:textId="37B4B005" w:rsidR="003869AB" w:rsidRPr="00B142A7" w:rsidRDefault="002F2C70" w:rsidP="00283B1F">
            <w:pPr>
              <w:rPr>
                <w:rFonts w:ascii="Arial Narrow" w:hAnsi="Arial Narrow" w:cs="Times New Roman"/>
                <w:b/>
                <w:sz w:val="20"/>
              </w:rPr>
            </w:pPr>
            <w:r>
              <w:rPr>
                <w:rFonts w:ascii="Arial Narrow" w:hAnsi="Arial Narrow" w:cs="Times New Roman"/>
                <w:b/>
                <w:sz w:val="20"/>
              </w:rPr>
              <w:t>8</w:t>
            </w:r>
            <w:r w:rsidR="00464A93">
              <w:rPr>
                <w:rFonts w:ascii="Arial Narrow" w:hAnsi="Arial Narrow" w:cs="Times New Roman"/>
                <w:b/>
                <w:sz w:val="20"/>
              </w:rPr>
              <w:t> </w:t>
            </w:r>
            <w:r>
              <w:rPr>
                <w:rFonts w:ascii="Arial Narrow" w:hAnsi="Arial Narrow" w:cs="Times New Roman"/>
                <w:b/>
                <w:sz w:val="20"/>
              </w:rPr>
              <w:t>6</w:t>
            </w:r>
            <w:r w:rsidR="00464A93">
              <w:rPr>
                <w:rFonts w:ascii="Arial Narrow" w:hAnsi="Arial Narrow" w:cs="Times New Roman"/>
                <w:b/>
                <w:sz w:val="20"/>
              </w:rPr>
              <w:t>75,88</w:t>
            </w:r>
          </w:p>
        </w:tc>
        <w:tc>
          <w:tcPr>
            <w:tcW w:w="1043" w:type="dxa"/>
            <w:tcBorders>
              <w:top w:val="double" w:sz="4" w:space="0" w:color="auto"/>
              <w:bottom w:val="double" w:sz="4" w:space="0" w:color="auto"/>
            </w:tcBorders>
            <w:vAlign w:val="center"/>
          </w:tcPr>
          <w:p w14:paraId="75B578A4" w14:textId="7F6FB0BF" w:rsidR="003869AB" w:rsidRPr="005D49F6" w:rsidRDefault="002F2C70" w:rsidP="00283B1F">
            <w:pPr>
              <w:rPr>
                <w:rFonts w:ascii="Arial Narrow" w:hAnsi="Arial Narrow" w:cs="Times New Roman"/>
                <w:b/>
                <w:sz w:val="20"/>
              </w:rPr>
            </w:pPr>
            <w:r>
              <w:rPr>
                <w:rFonts w:ascii="Arial Narrow" w:hAnsi="Arial Narrow" w:cs="Times New Roman"/>
                <w:b/>
                <w:sz w:val="20"/>
              </w:rPr>
              <w:t>3 7</w:t>
            </w:r>
            <w:r w:rsidR="00464A93">
              <w:rPr>
                <w:rFonts w:ascii="Arial Narrow" w:hAnsi="Arial Narrow" w:cs="Times New Roman"/>
                <w:b/>
                <w:sz w:val="20"/>
              </w:rPr>
              <w:t>50,00</w:t>
            </w:r>
          </w:p>
        </w:tc>
        <w:tc>
          <w:tcPr>
            <w:tcW w:w="1051" w:type="dxa"/>
            <w:tcBorders>
              <w:top w:val="double" w:sz="4" w:space="0" w:color="auto"/>
              <w:bottom w:val="double" w:sz="4" w:space="0" w:color="auto"/>
            </w:tcBorders>
            <w:vAlign w:val="center"/>
          </w:tcPr>
          <w:p w14:paraId="4DE23286" w14:textId="1DA3B2D0" w:rsidR="003869AB" w:rsidRPr="005D49F6" w:rsidRDefault="00464A93" w:rsidP="00283B1F">
            <w:pPr>
              <w:jc w:val="both"/>
              <w:rPr>
                <w:rFonts w:ascii="Arial Narrow" w:hAnsi="Arial Narrow" w:cs="Times New Roman"/>
                <w:b/>
                <w:sz w:val="20"/>
              </w:rPr>
            </w:pPr>
            <w:r>
              <w:rPr>
                <w:rFonts w:ascii="Arial Narrow" w:hAnsi="Arial Narrow" w:cs="Times New Roman"/>
                <w:b/>
                <w:sz w:val="20"/>
              </w:rPr>
              <w:t>37 725,00</w:t>
            </w:r>
          </w:p>
        </w:tc>
      </w:tr>
    </w:tbl>
    <w:p w14:paraId="4DB7AEEF" w14:textId="77777777" w:rsidR="003869AB" w:rsidRPr="00220AB0" w:rsidRDefault="003869AB" w:rsidP="003869AB">
      <w:pPr>
        <w:tabs>
          <w:tab w:val="left" w:pos="1455"/>
        </w:tabs>
        <w:spacing w:line="240" w:lineRule="auto"/>
        <w:rPr>
          <w:rFonts w:ascii="Arial Narrow" w:hAnsi="Arial Narrow"/>
        </w:rPr>
      </w:pPr>
    </w:p>
    <w:p w14:paraId="1ABEF2A6" w14:textId="77777777" w:rsidR="003869AB" w:rsidRPr="00220AB0" w:rsidRDefault="003869AB" w:rsidP="003869AB">
      <w:pPr>
        <w:tabs>
          <w:tab w:val="left" w:pos="1455"/>
        </w:tabs>
        <w:spacing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14:paraId="2A6F8C65"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469BA1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14:paraId="37159F96"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Ponidzia”.</w:t>
      </w:r>
    </w:p>
    <w:p w14:paraId="5398080C"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p>
    <w:p w14:paraId="0A7983F0"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14:paraId="72C73DEA" w14:textId="77777777" w:rsidR="003869AB" w:rsidRPr="00220AB0" w:rsidRDefault="003869AB" w:rsidP="003869AB">
      <w:pPr>
        <w:rPr>
          <w:rFonts w:ascii="Arial Narrow" w:hAnsi="Arial Narrow" w:cs="Times New Roman"/>
          <w:b/>
          <w:bCs/>
          <w:i/>
          <w:color w:val="943634" w:themeColor="accent2" w:themeShade="BF"/>
          <w:lang w:bidi="en-US"/>
        </w:rPr>
      </w:pPr>
      <w:bookmarkStart w:id="16" w:name="_Toc436040852"/>
    </w:p>
    <w:p w14:paraId="609F2EE5"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4</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2"/>
        <w:gridCol w:w="1371"/>
        <w:gridCol w:w="17"/>
        <w:gridCol w:w="1590"/>
        <w:gridCol w:w="1628"/>
        <w:gridCol w:w="1062"/>
        <w:gridCol w:w="2026"/>
        <w:gridCol w:w="1062"/>
      </w:tblGrid>
      <w:tr w:rsidR="003869AB" w:rsidRPr="00220AB0" w14:paraId="51E70A20" w14:textId="77777777" w:rsidTr="00283B1F">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14:paraId="55D6EED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3194A9C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F42400A"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14:paraId="1B9F861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3869AB" w:rsidRPr="00220AB0" w14:paraId="41462DA5" w14:textId="77777777" w:rsidTr="00283B1F">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14:paraId="277C4033" w14:textId="77777777" w:rsidR="003869AB" w:rsidRPr="00220AB0" w:rsidRDefault="003869AB" w:rsidP="00283B1F">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4B79E72" w14:textId="77777777" w:rsidR="003869AB" w:rsidRPr="00220AB0" w:rsidRDefault="003869AB" w:rsidP="00283B1F">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734664E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E9A354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CF9ED2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14:paraId="0B0B083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3869AB" w:rsidRPr="00220AB0" w14:paraId="35F61E33" w14:textId="77777777" w:rsidTr="00283B1F">
        <w:tc>
          <w:tcPr>
            <w:tcW w:w="532" w:type="dxa"/>
            <w:vMerge w:val="restart"/>
            <w:tcBorders>
              <w:top w:val="double" w:sz="4" w:space="0" w:color="auto"/>
              <w:bottom w:val="single" w:sz="6" w:space="0" w:color="auto"/>
            </w:tcBorders>
            <w:shd w:val="clear" w:color="auto" w:fill="C6D9F1" w:themeFill="text2" w:themeFillTint="33"/>
            <w:vAlign w:val="center"/>
          </w:tcPr>
          <w:p w14:paraId="3C51F7B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lastRenderedPageBreak/>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14:paraId="2F99337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Strona internetowa LGD i profil na portalu społecznościowym Facebook</w:t>
            </w:r>
          </w:p>
        </w:tc>
        <w:tc>
          <w:tcPr>
            <w:tcW w:w="1628" w:type="dxa"/>
            <w:tcBorders>
              <w:top w:val="double" w:sz="4" w:space="0" w:color="auto"/>
              <w:left w:val="double" w:sz="4" w:space="0" w:color="auto"/>
              <w:bottom w:val="single" w:sz="4" w:space="0" w:color="auto"/>
            </w:tcBorders>
            <w:vAlign w:val="center"/>
          </w:tcPr>
          <w:p w14:paraId="235781F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14:paraId="6F20D91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14:paraId="5A35E9D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14:paraId="61593293"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3869AB" w:rsidRPr="00220AB0" w14:paraId="73617150"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DF15A7A"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14:paraId="6F28CCE4"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14:paraId="0B49271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14:paraId="106E46C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14:paraId="719CE49A" w14:textId="77777777" w:rsidR="003869AB" w:rsidRPr="00220AB0" w:rsidRDefault="003869AB" w:rsidP="00283B1F">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14:paraId="2AFAD245" w14:textId="77777777" w:rsidR="003869AB" w:rsidRPr="00220AB0" w:rsidRDefault="003869AB" w:rsidP="00283B1F">
            <w:pPr>
              <w:autoSpaceDE w:val="0"/>
              <w:autoSpaceDN w:val="0"/>
              <w:adjustRightInd w:val="0"/>
              <w:rPr>
                <w:rFonts w:ascii="Arial Narrow" w:hAnsi="Arial Narrow" w:cs="Times New Roman"/>
              </w:rPr>
            </w:pPr>
          </w:p>
        </w:tc>
      </w:tr>
      <w:tr w:rsidR="003869AB" w:rsidRPr="00220AB0" w14:paraId="277564AA" w14:textId="77777777" w:rsidTr="00283B1F">
        <w:trPr>
          <w:trHeight w:val="520"/>
        </w:trPr>
        <w:tc>
          <w:tcPr>
            <w:tcW w:w="532" w:type="dxa"/>
            <w:tcBorders>
              <w:top w:val="single" w:sz="6" w:space="0" w:color="auto"/>
              <w:bottom w:val="single" w:sz="6" w:space="0" w:color="auto"/>
            </w:tcBorders>
            <w:shd w:val="clear" w:color="auto" w:fill="C6D9F1" w:themeFill="text2" w:themeFillTint="33"/>
            <w:vAlign w:val="center"/>
          </w:tcPr>
          <w:p w14:paraId="7C44F88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14:paraId="7CFE632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14:paraId="462F87F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14:paraId="2881029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14:paraId="784D93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14:paraId="5330DDF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14:paraId="14C011B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60</w:t>
            </w:r>
          </w:p>
        </w:tc>
      </w:tr>
      <w:tr w:rsidR="003869AB" w:rsidRPr="00220AB0" w14:paraId="3D4EAA73" w14:textId="77777777" w:rsidTr="00283B1F">
        <w:tc>
          <w:tcPr>
            <w:tcW w:w="532" w:type="dxa"/>
            <w:tcBorders>
              <w:top w:val="single" w:sz="6" w:space="0" w:color="auto"/>
              <w:bottom w:val="single" w:sz="6" w:space="0" w:color="auto"/>
            </w:tcBorders>
            <w:shd w:val="clear" w:color="auto" w:fill="C6D9F1" w:themeFill="text2" w:themeFillTint="33"/>
            <w:vAlign w:val="center"/>
          </w:tcPr>
          <w:p w14:paraId="5DA3A1E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6986F41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14:paraId="794EA94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14:paraId="59C23A2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14:paraId="0B3EC19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01949CC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45</w:t>
            </w:r>
          </w:p>
        </w:tc>
      </w:tr>
      <w:tr w:rsidR="003869AB" w:rsidRPr="00220AB0" w14:paraId="011F6F55" w14:textId="77777777" w:rsidTr="00283B1F">
        <w:tc>
          <w:tcPr>
            <w:tcW w:w="532" w:type="dxa"/>
            <w:tcBorders>
              <w:top w:val="single" w:sz="6" w:space="0" w:color="auto"/>
              <w:bottom w:val="single" w:sz="6" w:space="0" w:color="auto"/>
            </w:tcBorders>
            <w:shd w:val="clear" w:color="auto" w:fill="C6D9F1" w:themeFill="text2" w:themeFillTint="33"/>
            <w:vAlign w:val="center"/>
          </w:tcPr>
          <w:p w14:paraId="0DEDCDC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FD167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Spotkania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 </w:t>
            </w:r>
          </w:p>
        </w:tc>
        <w:tc>
          <w:tcPr>
            <w:tcW w:w="1628" w:type="dxa"/>
            <w:tcBorders>
              <w:left w:val="double" w:sz="4" w:space="0" w:color="auto"/>
            </w:tcBorders>
            <w:vAlign w:val="center"/>
          </w:tcPr>
          <w:p w14:paraId="66541A7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14:paraId="4388207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r>
              <w:rPr>
                <w:rFonts w:ascii="Arial Narrow" w:hAnsi="Arial Narrow" w:cs="Times New Roman"/>
              </w:rPr>
              <w:t>8</w:t>
            </w:r>
          </w:p>
        </w:tc>
        <w:tc>
          <w:tcPr>
            <w:tcW w:w="2026" w:type="dxa"/>
            <w:vAlign w:val="center"/>
          </w:tcPr>
          <w:p w14:paraId="5852823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05B7EE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200</w:t>
            </w:r>
          </w:p>
        </w:tc>
      </w:tr>
      <w:tr w:rsidR="003869AB" w:rsidRPr="00220AB0" w14:paraId="35D7DAA9"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2DFED17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14:paraId="23B5B36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Materiały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CB0ED4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14:paraId="7A8B46A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14:paraId="4C22109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51E2DDE6" w14:textId="5F0AC3F5"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c>
          <w:tcPr>
            <w:tcW w:w="2026" w:type="dxa"/>
            <w:vAlign w:val="center"/>
          </w:tcPr>
          <w:p w14:paraId="07679C1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CDD0364" w14:textId="45C38664"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r>
      <w:tr w:rsidR="003869AB" w:rsidRPr="00220AB0" w14:paraId="3865613F"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4EC5C3D"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6A9B57A4"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647E135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14:paraId="53B96FA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14:paraId="0BFD8B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18EDBB4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14:paraId="73370E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2447C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r>
      <w:tr w:rsidR="003869AB" w:rsidRPr="00220AB0" w14:paraId="7B1F9605"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245081F5"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3F966633"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7DB9656"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Publikacja/</w:t>
            </w:r>
          </w:p>
          <w:p w14:paraId="0E2312A0" w14:textId="77777777" w:rsidR="003869AB" w:rsidRPr="00ED7DA8"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p w14:paraId="728E2C22"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 xml:space="preserve"> (3 opracowane publikacje/</w:t>
            </w:r>
          </w:p>
          <w:p w14:paraId="53401467" w14:textId="77777777" w:rsidR="003869AB" w:rsidRPr="00220AB0"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tc>
        <w:tc>
          <w:tcPr>
            <w:tcW w:w="1628" w:type="dxa"/>
            <w:tcBorders>
              <w:left w:val="double" w:sz="4" w:space="0" w:color="auto"/>
            </w:tcBorders>
            <w:vAlign w:val="center"/>
          </w:tcPr>
          <w:p w14:paraId="5C5B9D9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41B99275" w14:textId="2DC8756D"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000</w:t>
            </w:r>
          </w:p>
        </w:tc>
        <w:tc>
          <w:tcPr>
            <w:tcW w:w="2026" w:type="dxa"/>
            <w:vAlign w:val="center"/>
          </w:tcPr>
          <w:p w14:paraId="07345BD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7EB4DA17" w14:textId="05934912"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 xml:space="preserve"> 000</w:t>
            </w:r>
          </w:p>
        </w:tc>
      </w:tr>
      <w:tr w:rsidR="003869AB" w:rsidRPr="00220AB0" w14:paraId="66421286" w14:textId="77777777" w:rsidTr="00283B1F">
        <w:trPr>
          <w:trHeight w:val="772"/>
        </w:trPr>
        <w:tc>
          <w:tcPr>
            <w:tcW w:w="532" w:type="dxa"/>
            <w:tcBorders>
              <w:top w:val="single" w:sz="6" w:space="0" w:color="auto"/>
              <w:bottom w:val="single" w:sz="6" w:space="0" w:color="auto"/>
            </w:tcBorders>
            <w:shd w:val="clear" w:color="auto" w:fill="C6D9F1" w:themeFill="text2" w:themeFillTint="33"/>
            <w:vAlign w:val="center"/>
          </w:tcPr>
          <w:p w14:paraId="05CB2CC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14:paraId="5E81F54E" w14:textId="77777777" w:rsidR="003869AB" w:rsidRPr="00220AB0" w:rsidRDefault="003869AB" w:rsidP="00283B1F">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14:paraId="3AACACD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14:paraId="0D6EB4F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14:paraId="6B20C51C"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11</w:t>
            </w:r>
          </w:p>
        </w:tc>
        <w:tc>
          <w:tcPr>
            <w:tcW w:w="2026" w:type="dxa"/>
            <w:vAlign w:val="center"/>
          </w:tcPr>
          <w:p w14:paraId="6336C6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14:paraId="476AC63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80</w:t>
            </w:r>
          </w:p>
        </w:tc>
      </w:tr>
      <w:tr w:rsidR="003869AB" w:rsidRPr="00220AB0" w14:paraId="24EB3D38"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0FCD9EE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14:paraId="5E5515C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01312653"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14:paraId="5597E603"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3F5FF335"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F020FB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6D20F88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500</w:t>
            </w:r>
          </w:p>
        </w:tc>
      </w:tr>
      <w:tr w:rsidR="003869AB" w:rsidRPr="00220AB0" w14:paraId="168E0B69"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6F984FA7" w14:textId="77777777" w:rsidR="003869AB" w:rsidRPr="00220AB0" w:rsidRDefault="003869AB" w:rsidP="00283B1F">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14:paraId="4134B05B" w14:textId="77777777" w:rsidR="003869AB" w:rsidRPr="00220AB0" w:rsidRDefault="003869AB" w:rsidP="00283B1F">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1D5E621C"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14:paraId="48E697D9"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515C4B34"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CBDEEE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7D829B5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w:t>
            </w:r>
          </w:p>
        </w:tc>
      </w:tr>
      <w:tr w:rsidR="003869AB" w:rsidRPr="00220AB0" w14:paraId="3500D7BA" w14:textId="77777777" w:rsidTr="00283B1F">
        <w:tc>
          <w:tcPr>
            <w:tcW w:w="532" w:type="dxa"/>
            <w:tcBorders>
              <w:top w:val="single" w:sz="6" w:space="0" w:color="auto"/>
              <w:bottom w:val="single" w:sz="6" w:space="0" w:color="auto"/>
            </w:tcBorders>
            <w:shd w:val="clear" w:color="auto" w:fill="C6D9F1" w:themeFill="text2" w:themeFillTint="33"/>
            <w:vAlign w:val="center"/>
          </w:tcPr>
          <w:p w14:paraId="6258749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7E911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Punkty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 na lokalnych wydarzeniach kulturalnych</w:t>
            </w:r>
          </w:p>
        </w:tc>
        <w:tc>
          <w:tcPr>
            <w:tcW w:w="1628" w:type="dxa"/>
            <w:tcBorders>
              <w:left w:val="double" w:sz="4" w:space="0" w:color="auto"/>
            </w:tcBorders>
            <w:vAlign w:val="center"/>
          </w:tcPr>
          <w:p w14:paraId="7090E1F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Konsultacyjnych </w:t>
            </w:r>
          </w:p>
        </w:tc>
        <w:tc>
          <w:tcPr>
            <w:tcW w:w="1062" w:type="dxa"/>
            <w:vAlign w:val="center"/>
          </w:tcPr>
          <w:p w14:paraId="0139AD0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14:paraId="1CAEC4F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Liczba osób korzystających z Punktu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Konsultacyjnego</w:t>
            </w:r>
          </w:p>
        </w:tc>
        <w:tc>
          <w:tcPr>
            <w:tcW w:w="1062" w:type="dxa"/>
            <w:vAlign w:val="center"/>
          </w:tcPr>
          <w:p w14:paraId="77C7547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1 020</w:t>
            </w:r>
          </w:p>
        </w:tc>
      </w:tr>
      <w:tr w:rsidR="003869AB" w:rsidRPr="00220AB0" w14:paraId="06A69960" w14:textId="77777777" w:rsidTr="00283B1F">
        <w:tc>
          <w:tcPr>
            <w:tcW w:w="532" w:type="dxa"/>
            <w:vMerge w:val="restart"/>
            <w:tcBorders>
              <w:top w:val="single" w:sz="6" w:space="0" w:color="auto"/>
            </w:tcBorders>
            <w:shd w:val="clear" w:color="auto" w:fill="C6D9F1" w:themeFill="text2" w:themeFillTint="33"/>
            <w:vAlign w:val="center"/>
          </w:tcPr>
          <w:p w14:paraId="7C60BF2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lastRenderedPageBreak/>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14:paraId="2691368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14:paraId="2BE65F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14:paraId="3FEB2FC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14:paraId="3C95DE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14:paraId="5C821D3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2 400</w:t>
            </w:r>
          </w:p>
        </w:tc>
      </w:tr>
      <w:tr w:rsidR="003869AB" w:rsidRPr="00220AB0" w14:paraId="40062F00" w14:textId="77777777" w:rsidTr="00283B1F">
        <w:tc>
          <w:tcPr>
            <w:tcW w:w="532" w:type="dxa"/>
            <w:vMerge/>
            <w:tcBorders>
              <w:bottom w:val="double" w:sz="4" w:space="0" w:color="auto"/>
            </w:tcBorders>
            <w:shd w:val="clear" w:color="auto" w:fill="C6D9F1" w:themeFill="text2" w:themeFillTint="33"/>
            <w:vAlign w:val="center"/>
          </w:tcPr>
          <w:p w14:paraId="4056B0AC"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14:paraId="58C4842F"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left w:val="double" w:sz="4" w:space="0" w:color="auto"/>
            </w:tcBorders>
            <w:vAlign w:val="center"/>
          </w:tcPr>
          <w:p w14:paraId="060FE6C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14:paraId="2B1522C2" w14:textId="49887B98" w:rsidR="003869AB" w:rsidRPr="00220AB0" w:rsidRDefault="002F2C70" w:rsidP="00283B1F">
            <w:pPr>
              <w:autoSpaceDE w:val="0"/>
              <w:autoSpaceDN w:val="0"/>
              <w:adjustRightInd w:val="0"/>
              <w:rPr>
                <w:rFonts w:ascii="Arial Narrow" w:hAnsi="Arial Narrow" w:cs="Times New Roman"/>
              </w:rPr>
            </w:pPr>
            <w:r>
              <w:rPr>
                <w:rFonts w:ascii="Arial Narrow" w:hAnsi="Arial Narrow" w:cs="Times New Roman"/>
              </w:rPr>
              <w:t>3</w:t>
            </w:r>
          </w:p>
        </w:tc>
        <w:tc>
          <w:tcPr>
            <w:tcW w:w="2026" w:type="dxa"/>
            <w:vAlign w:val="center"/>
          </w:tcPr>
          <w:p w14:paraId="64E3245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8F73DAE"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w:t>
            </w:r>
            <w:r w:rsidRPr="00220AB0">
              <w:rPr>
                <w:rFonts w:ascii="Arial Narrow" w:hAnsi="Arial Narrow" w:cs="Times New Roman"/>
              </w:rPr>
              <w:t>00</w:t>
            </w:r>
          </w:p>
        </w:tc>
      </w:tr>
    </w:tbl>
    <w:p w14:paraId="4845F75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p>
    <w:p w14:paraId="3F2E33AC" w14:textId="77777777" w:rsidR="003869AB" w:rsidRPr="00220AB0" w:rsidRDefault="003869AB" w:rsidP="003869AB">
      <w:pPr>
        <w:autoSpaceDE w:val="0"/>
        <w:autoSpaceDN w:val="0"/>
        <w:adjustRightInd w:val="0"/>
        <w:spacing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i stanie się źródłem do opracowania Panu Komunikacji na lata 2019 – 2022. </w:t>
      </w:r>
    </w:p>
    <w:p w14:paraId="6A81255F" w14:textId="77777777" w:rsidR="00D75A23" w:rsidRDefault="00D75A23"/>
    <w:sectPr w:rsidR="00D75A23" w:rsidSect="00D7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15:restartNumberingAfterBreak="0">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AB"/>
    <w:rsid w:val="000112AC"/>
    <w:rsid w:val="000545BA"/>
    <w:rsid w:val="00096945"/>
    <w:rsid w:val="000A4398"/>
    <w:rsid w:val="000E78C0"/>
    <w:rsid w:val="00105FDA"/>
    <w:rsid w:val="00135833"/>
    <w:rsid w:val="001A4C73"/>
    <w:rsid w:val="001C6984"/>
    <w:rsid w:val="001E5A31"/>
    <w:rsid w:val="00283B1F"/>
    <w:rsid w:val="002F2C70"/>
    <w:rsid w:val="00351720"/>
    <w:rsid w:val="0037164D"/>
    <w:rsid w:val="0038553E"/>
    <w:rsid w:val="003869AB"/>
    <w:rsid w:val="00424559"/>
    <w:rsid w:val="00464A93"/>
    <w:rsid w:val="004D2DCE"/>
    <w:rsid w:val="00570834"/>
    <w:rsid w:val="005C74AA"/>
    <w:rsid w:val="005D49F6"/>
    <w:rsid w:val="006115A7"/>
    <w:rsid w:val="00685D19"/>
    <w:rsid w:val="006C5CF4"/>
    <w:rsid w:val="006D5584"/>
    <w:rsid w:val="00720BED"/>
    <w:rsid w:val="00724085"/>
    <w:rsid w:val="0083265F"/>
    <w:rsid w:val="0083360D"/>
    <w:rsid w:val="008F41AE"/>
    <w:rsid w:val="00934DB5"/>
    <w:rsid w:val="009B6140"/>
    <w:rsid w:val="009E6917"/>
    <w:rsid w:val="00A72B1D"/>
    <w:rsid w:val="00AB0732"/>
    <w:rsid w:val="00AD583A"/>
    <w:rsid w:val="00B142A7"/>
    <w:rsid w:val="00B27D8E"/>
    <w:rsid w:val="00B84E43"/>
    <w:rsid w:val="00B96DEA"/>
    <w:rsid w:val="00BC5FA0"/>
    <w:rsid w:val="00C734C6"/>
    <w:rsid w:val="00C81E27"/>
    <w:rsid w:val="00D0584A"/>
    <w:rsid w:val="00D21870"/>
    <w:rsid w:val="00D41C2C"/>
    <w:rsid w:val="00D75A23"/>
    <w:rsid w:val="00D92313"/>
    <w:rsid w:val="00DC180F"/>
    <w:rsid w:val="00E33DE0"/>
    <w:rsid w:val="00E373E6"/>
    <w:rsid w:val="00E45185"/>
    <w:rsid w:val="00E46E68"/>
    <w:rsid w:val="00E875FB"/>
    <w:rsid w:val="00E925E5"/>
    <w:rsid w:val="00E92DC7"/>
    <w:rsid w:val="00EA56CC"/>
    <w:rsid w:val="00EC1640"/>
    <w:rsid w:val="00ED67B9"/>
    <w:rsid w:val="00ED729E"/>
    <w:rsid w:val="00ED75CD"/>
    <w:rsid w:val="00EF31E7"/>
    <w:rsid w:val="00FE3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B306"/>
  <w15:docId w15:val="{0A2A71FF-E5D7-480A-877A-6B3AD90B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9AB"/>
    <w:pPr>
      <w:spacing w:after="0" w:line="360" w:lineRule="auto"/>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8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869A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6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C4BC5-55F7-4F26-AECC-AAE3EF4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2748</Words>
  <Characters>16494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Marta Strzelecka</cp:lastModifiedBy>
  <cp:revision>7</cp:revision>
  <cp:lastPrinted>2019-03-19T13:40:00Z</cp:lastPrinted>
  <dcterms:created xsi:type="dcterms:W3CDTF">2021-10-07T11:04:00Z</dcterms:created>
  <dcterms:modified xsi:type="dcterms:W3CDTF">2021-10-22T10:11:00Z</dcterms:modified>
</cp:coreProperties>
</file>